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BE8A89" w14:textId="078475E7" w:rsidR="00851E37" w:rsidRDefault="00906EB9" w:rsidP="004F072F">
      <w:pPr>
        <w:spacing w:after="0"/>
        <w:ind w:left="1988" w:hanging="1988"/>
        <w:rPr>
          <w:rFonts w:ascii="Arial" w:hAnsi="Arial" w:cs="Arial"/>
          <w:b/>
          <w:sz w:val="24"/>
        </w:rPr>
      </w:pPr>
      <w:r>
        <w:rPr>
          <w:rFonts w:ascii="Arial" w:hAnsi="Arial" w:cs="Arial"/>
          <w:b/>
          <w:sz w:val="24"/>
        </w:rPr>
        <w:t>3GPP TSG RAN WG1 Meeting #</w:t>
      </w:r>
      <w:r w:rsidR="006C1FB7">
        <w:rPr>
          <w:rFonts w:ascii="Arial" w:hAnsi="Arial" w:cs="Arial"/>
          <w:b/>
          <w:sz w:val="24"/>
        </w:rPr>
        <w:t>10</w:t>
      </w:r>
      <w:r w:rsidR="001F3C61">
        <w:rPr>
          <w:rFonts w:ascii="Arial" w:hAnsi="Arial" w:cs="Arial"/>
          <w:b/>
          <w:sz w:val="24"/>
        </w:rPr>
        <w:t>6</w:t>
      </w:r>
      <w:r w:rsidR="00283F31">
        <w:rPr>
          <w:rFonts w:ascii="Arial" w:hAnsi="Arial" w:cs="Arial"/>
          <w:b/>
          <w:sz w:val="24"/>
        </w:rPr>
        <w:t>bis</w:t>
      </w:r>
      <w:r w:rsidR="007E40D0">
        <w:rPr>
          <w:rFonts w:ascii="Arial" w:hAnsi="Arial" w:cs="Arial"/>
          <w:b/>
          <w:sz w:val="24"/>
        </w:rPr>
        <w:t>-</w:t>
      </w:r>
      <w:r w:rsidR="001D77CC">
        <w:rPr>
          <w:rFonts w:ascii="Arial" w:hAnsi="Arial" w:cs="Arial"/>
          <w:b/>
          <w:sz w:val="24"/>
        </w:rPr>
        <w:t>E</w:t>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sidR="007F00E3">
        <w:rPr>
          <w:rFonts w:ascii="Arial" w:hAnsi="Arial" w:cs="Arial"/>
          <w:b/>
          <w:sz w:val="24"/>
        </w:rPr>
        <w:t xml:space="preserve"> </w:t>
      </w:r>
      <w:r w:rsidR="00477AFC" w:rsidRPr="00477AFC">
        <w:rPr>
          <w:rFonts w:ascii="Arial" w:hAnsi="Arial" w:cs="Arial"/>
          <w:b/>
          <w:sz w:val="24"/>
        </w:rPr>
        <w:t>R1-2109619</w:t>
      </w:r>
      <w:r w:rsidR="00F23B98" w:rsidRPr="00F23B98">
        <w:rPr>
          <w:rFonts w:ascii="Arial" w:hAnsi="Arial" w:cs="Arial"/>
          <w:b/>
          <w:sz w:val="24"/>
        </w:rPr>
        <w:t xml:space="preserve"> </w:t>
      </w:r>
    </w:p>
    <w:p w14:paraId="44246AEB" w14:textId="133CB325" w:rsidR="001F3C61" w:rsidRDefault="00DE2931" w:rsidP="001F3C61">
      <w:pPr>
        <w:spacing w:after="0"/>
        <w:ind w:left="1988" w:hanging="1988"/>
        <w:rPr>
          <w:rFonts w:ascii="Arial" w:hAnsi="Arial" w:cs="Arial"/>
          <w:b/>
          <w:sz w:val="24"/>
        </w:rPr>
      </w:pPr>
      <w:r w:rsidRPr="00DE2931">
        <w:rPr>
          <w:rFonts w:ascii="Arial" w:hAnsi="Arial" w:cs="Arial"/>
          <w:b/>
          <w:sz w:val="24"/>
        </w:rPr>
        <w:t>e-Meeting, October 11</w:t>
      </w:r>
      <w:r w:rsidRPr="009F0045">
        <w:rPr>
          <w:rFonts w:ascii="Arial" w:hAnsi="Arial" w:cs="Arial"/>
          <w:b/>
          <w:sz w:val="24"/>
          <w:vertAlign w:val="superscript"/>
        </w:rPr>
        <w:t>th</w:t>
      </w:r>
      <w:r w:rsidRPr="00DE2931">
        <w:rPr>
          <w:rFonts w:ascii="Arial" w:hAnsi="Arial" w:cs="Arial"/>
          <w:b/>
          <w:sz w:val="24"/>
        </w:rPr>
        <w:t xml:space="preserve"> – October 19</w:t>
      </w:r>
      <w:r w:rsidRPr="009F0045">
        <w:rPr>
          <w:rFonts w:ascii="Arial" w:hAnsi="Arial" w:cs="Arial"/>
          <w:b/>
          <w:sz w:val="24"/>
          <w:vertAlign w:val="superscript"/>
        </w:rPr>
        <w:t>th</w:t>
      </w:r>
      <w:r w:rsidRPr="00DE2931">
        <w:rPr>
          <w:rFonts w:ascii="Arial" w:hAnsi="Arial" w:cs="Arial"/>
          <w:b/>
          <w:sz w:val="24"/>
        </w:rPr>
        <w:t xml:space="preserve">, </w:t>
      </w:r>
      <w:r w:rsidR="001F3C61">
        <w:rPr>
          <w:rFonts w:ascii="Arial" w:hAnsi="Arial" w:cs="Arial"/>
          <w:b/>
          <w:sz w:val="24"/>
        </w:rPr>
        <w:t>2021</w:t>
      </w:r>
    </w:p>
    <w:p w14:paraId="5E5AEE0A" w14:textId="77777777" w:rsidR="00654E02" w:rsidRDefault="00654E02" w:rsidP="00654E02">
      <w:pPr>
        <w:spacing w:after="0"/>
        <w:ind w:left="1988" w:hanging="1988"/>
        <w:rPr>
          <w:rFonts w:ascii="Arial" w:hAnsi="Arial" w:cs="Arial"/>
          <w:b/>
          <w:sz w:val="24"/>
        </w:rPr>
      </w:pPr>
    </w:p>
    <w:p w14:paraId="616AEAE5" w14:textId="77777777" w:rsidR="00654E02" w:rsidRDefault="00654E02" w:rsidP="00654E02">
      <w:pPr>
        <w:spacing w:after="0"/>
        <w:ind w:left="1988" w:hanging="1988"/>
        <w:rPr>
          <w:rFonts w:ascii="Arial" w:hAnsi="Arial" w:cs="Arial"/>
          <w:b/>
          <w:sz w:val="24"/>
        </w:rPr>
      </w:pPr>
      <w:r>
        <w:rPr>
          <w:rFonts w:ascii="Arial" w:hAnsi="Arial" w:cs="Arial"/>
          <w:b/>
          <w:sz w:val="24"/>
        </w:rPr>
        <w:t>Source:</w:t>
      </w:r>
      <w:r>
        <w:rPr>
          <w:rFonts w:ascii="Arial" w:hAnsi="Arial" w:cs="Arial"/>
          <w:b/>
          <w:sz w:val="24"/>
        </w:rPr>
        <w:tab/>
        <w:t>Intel Corporation</w:t>
      </w:r>
    </w:p>
    <w:p w14:paraId="05B86A41" w14:textId="2225FCFC" w:rsidR="003F61F4" w:rsidRDefault="00654E02" w:rsidP="00654E02">
      <w:pPr>
        <w:spacing w:after="0"/>
        <w:ind w:left="1988" w:hanging="1988"/>
        <w:rPr>
          <w:rFonts w:ascii="Arial" w:hAnsi="Arial" w:cs="Arial"/>
          <w:b/>
          <w:sz w:val="24"/>
        </w:rPr>
      </w:pPr>
      <w:r>
        <w:rPr>
          <w:rFonts w:ascii="Arial" w:hAnsi="Arial" w:cs="Arial"/>
          <w:b/>
          <w:sz w:val="24"/>
        </w:rPr>
        <w:t>Title:</w:t>
      </w:r>
      <w:r>
        <w:rPr>
          <w:rFonts w:ascii="Arial" w:hAnsi="Arial" w:cs="Arial"/>
          <w:b/>
          <w:sz w:val="24"/>
        </w:rPr>
        <w:tab/>
      </w:r>
      <w:r w:rsidR="00B221F4" w:rsidRPr="00B221F4">
        <w:rPr>
          <w:rFonts w:ascii="Arial" w:hAnsi="Arial" w:cs="Arial"/>
          <w:b/>
          <w:sz w:val="24"/>
        </w:rPr>
        <w:t>Other aspects on UE complexity reduction for RedCap</w:t>
      </w:r>
    </w:p>
    <w:p w14:paraId="7ED02BDB" w14:textId="712B42EB" w:rsidR="00654E02" w:rsidRDefault="00654E02" w:rsidP="00654E02">
      <w:pPr>
        <w:spacing w:after="0"/>
        <w:ind w:left="1988" w:hanging="1988"/>
        <w:rPr>
          <w:rFonts w:ascii="Arial" w:hAnsi="Arial" w:cs="Arial"/>
          <w:b/>
          <w:sz w:val="24"/>
        </w:rPr>
      </w:pPr>
      <w:r>
        <w:rPr>
          <w:rFonts w:ascii="Arial" w:hAnsi="Arial" w:cs="Arial"/>
          <w:b/>
          <w:sz w:val="24"/>
        </w:rPr>
        <w:t>Agenda item:</w:t>
      </w:r>
      <w:r>
        <w:rPr>
          <w:rFonts w:ascii="Arial" w:hAnsi="Arial" w:cs="Arial"/>
          <w:b/>
          <w:sz w:val="24"/>
        </w:rPr>
        <w:tab/>
      </w:r>
      <w:r w:rsidR="00B855D2">
        <w:rPr>
          <w:rFonts w:ascii="Arial" w:hAnsi="Arial" w:cs="Arial"/>
          <w:b/>
          <w:sz w:val="24"/>
        </w:rPr>
        <w:t>8.</w:t>
      </w:r>
      <w:r w:rsidR="00B1243C">
        <w:rPr>
          <w:rFonts w:ascii="Arial" w:hAnsi="Arial" w:cs="Arial"/>
          <w:b/>
          <w:sz w:val="24"/>
        </w:rPr>
        <w:t>6</w:t>
      </w:r>
      <w:r w:rsidR="00B855D2">
        <w:rPr>
          <w:rFonts w:ascii="Arial" w:hAnsi="Arial" w:cs="Arial"/>
          <w:b/>
          <w:sz w:val="24"/>
        </w:rPr>
        <w:t>.</w:t>
      </w:r>
      <w:r w:rsidR="00B221F4">
        <w:rPr>
          <w:rFonts w:ascii="Arial" w:hAnsi="Arial" w:cs="Arial"/>
          <w:b/>
          <w:sz w:val="24"/>
        </w:rPr>
        <w:t>1.3</w:t>
      </w:r>
    </w:p>
    <w:p w14:paraId="09FAA100" w14:textId="6E8D80C5" w:rsidR="004B56FF" w:rsidRPr="007E5A98" w:rsidRDefault="00654E02" w:rsidP="0010108F">
      <w:pPr>
        <w:spacing w:after="0"/>
        <w:ind w:left="1988" w:hanging="1988"/>
        <w:rPr>
          <w:rFonts w:ascii="Arial" w:hAnsi="Arial" w:cs="Arial"/>
          <w:b/>
          <w:sz w:val="24"/>
        </w:rPr>
      </w:pPr>
      <w:r>
        <w:rPr>
          <w:rFonts w:ascii="Arial" w:hAnsi="Arial" w:cs="Arial"/>
          <w:b/>
          <w:sz w:val="24"/>
        </w:rPr>
        <w:t>Document for:</w:t>
      </w:r>
      <w:bookmarkStart w:id="0" w:name="DocumentFor"/>
      <w:bookmarkEnd w:id="0"/>
      <w:r>
        <w:rPr>
          <w:rFonts w:ascii="Arial" w:hAnsi="Arial" w:cs="Arial"/>
          <w:b/>
          <w:sz w:val="24"/>
        </w:rPr>
        <w:tab/>
        <w:t>Discussion and Decision</w:t>
      </w:r>
    </w:p>
    <w:p w14:paraId="6EFF39C4" w14:textId="77777777" w:rsidR="004B56FF" w:rsidRPr="004B56FF" w:rsidRDefault="004B56FF" w:rsidP="008974D5">
      <w:pPr>
        <w:pStyle w:val="Heading1"/>
        <w:keepLines/>
        <w:numPr>
          <w:ilvl w:val="0"/>
          <w:numId w:val="1"/>
        </w:numPr>
        <w:pBdr>
          <w:top w:val="single" w:sz="12" w:space="4" w:color="auto"/>
        </w:pBdr>
        <w:overflowPunct w:val="0"/>
        <w:snapToGrid/>
        <w:spacing w:before="240"/>
        <w:ind w:left="431" w:hanging="431"/>
        <w:jc w:val="left"/>
        <w:textAlignment w:val="baseline"/>
        <w:rPr>
          <w:rFonts w:ascii="Arial" w:hAnsi="Arial"/>
          <w:b w:val="0"/>
          <w:bCs w:val="0"/>
          <w:sz w:val="36"/>
          <w:szCs w:val="20"/>
        </w:rPr>
      </w:pPr>
      <w:bookmarkStart w:id="1" w:name="_Ref40465791"/>
      <w:r w:rsidRPr="004B56FF">
        <w:rPr>
          <w:rFonts w:ascii="Arial" w:hAnsi="Arial"/>
          <w:b w:val="0"/>
          <w:bCs w:val="0"/>
          <w:sz w:val="36"/>
          <w:szCs w:val="20"/>
        </w:rPr>
        <w:t>Introduction</w:t>
      </w:r>
      <w:bookmarkEnd w:id="1"/>
    </w:p>
    <w:p w14:paraId="05224F30" w14:textId="7FCEA925" w:rsidR="00240315" w:rsidRDefault="000341C1" w:rsidP="00C50EBF">
      <w:pPr>
        <w:spacing w:after="160" w:line="259" w:lineRule="auto"/>
        <w:ind w:right="-99"/>
      </w:pPr>
      <w:r>
        <w:t>During</w:t>
      </w:r>
      <w:r w:rsidR="006E3D04">
        <w:t xml:space="preserve"> RAN1</w:t>
      </w:r>
      <w:r w:rsidR="003F5380">
        <w:t xml:space="preserve"> #106-E meeting, the issue of applicability of DL/UL peak rate scaling factors for RedCap UEs was discussed</w:t>
      </w:r>
      <w:r w:rsidR="00376724">
        <w:t xml:space="preserve"> towards providing cost/complexity savings from a reduction to the L2 buffer size</w:t>
      </w:r>
      <w:r w:rsidR="00D94166">
        <w:t>, and the following broad options were identified</w:t>
      </w:r>
      <w:r w:rsidR="00055176">
        <w:t xml:space="preserve"> </w:t>
      </w:r>
      <w:r w:rsidR="002620C5">
        <w:fldChar w:fldCharType="begin"/>
      </w:r>
      <w:r w:rsidR="002620C5">
        <w:instrText xml:space="preserve"> REF _Ref71654122 \r \h </w:instrText>
      </w:r>
      <w:r w:rsidR="002620C5">
        <w:fldChar w:fldCharType="separate"/>
      </w:r>
      <w:r w:rsidR="002620C5">
        <w:t>[1]</w:t>
      </w:r>
      <w:r w:rsidR="002620C5">
        <w:fldChar w:fldCharType="end"/>
      </w:r>
      <w:r w:rsidR="00D94166">
        <w:t>:</w:t>
      </w:r>
    </w:p>
    <w:tbl>
      <w:tblPr>
        <w:tblStyle w:val="TableGrid"/>
        <w:tblW w:w="0" w:type="auto"/>
        <w:tblLook w:val="04A0" w:firstRow="1" w:lastRow="0" w:firstColumn="1" w:lastColumn="0" w:noHBand="0" w:noVBand="1"/>
      </w:tblPr>
      <w:tblGrid>
        <w:gridCol w:w="9350"/>
      </w:tblGrid>
      <w:tr w:rsidR="00B70FB9" w14:paraId="301734AD" w14:textId="77777777" w:rsidTr="00B70FB9">
        <w:tc>
          <w:tcPr>
            <w:tcW w:w="9350" w:type="dxa"/>
          </w:tcPr>
          <w:p w14:paraId="6486A2B6" w14:textId="7800DFE7" w:rsidR="00B14D22" w:rsidRPr="00B14D22" w:rsidRDefault="00B14D22" w:rsidP="00B14D22">
            <w:pPr>
              <w:rPr>
                <w:i/>
                <w:iCs/>
              </w:rPr>
            </w:pPr>
            <w:r w:rsidRPr="00B14D22">
              <w:rPr>
                <w:i/>
                <w:iCs/>
              </w:rPr>
              <w:t xml:space="preserve">Options </w:t>
            </w:r>
            <w:r w:rsidR="00055176">
              <w:rPr>
                <w:i/>
                <w:iCs/>
              </w:rPr>
              <w:t>for</w:t>
            </w:r>
            <w:r w:rsidRPr="00B14D22">
              <w:rPr>
                <w:i/>
                <w:iCs/>
              </w:rPr>
              <w:t xml:space="preserve"> handling of scaling factors for RedCap UEs</w:t>
            </w:r>
            <w:r>
              <w:rPr>
                <w:i/>
                <w:iCs/>
              </w:rPr>
              <w:t xml:space="preserve"> (from RAN1 #106-E)</w:t>
            </w:r>
            <w:r w:rsidRPr="00B14D22">
              <w:rPr>
                <w:i/>
                <w:iCs/>
              </w:rPr>
              <w:t>:</w:t>
            </w:r>
          </w:p>
          <w:p w14:paraId="5FC6667C" w14:textId="61A726C1" w:rsidR="002A5BA6" w:rsidRPr="002A5BA6" w:rsidRDefault="002A5BA6" w:rsidP="002A5BA6">
            <w:pPr>
              <w:pStyle w:val="ListParagraph"/>
              <w:numPr>
                <w:ilvl w:val="0"/>
                <w:numId w:val="21"/>
              </w:numPr>
              <w:rPr>
                <w:i/>
                <w:iCs/>
              </w:rPr>
            </w:pPr>
            <w:r w:rsidRPr="002A5BA6">
              <w:rPr>
                <w:b/>
                <w:bCs/>
                <w:i/>
                <w:iCs/>
              </w:rPr>
              <w:t>Opt. 1:</w:t>
            </w:r>
            <w:r w:rsidRPr="002A5BA6">
              <w:rPr>
                <w:i/>
                <w:iCs/>
              </w:rPr>
              <w:t xml:space="preserve"> Scaling factors for peak DL/UL rates with existing values {0.4, 0.75, 0.8, 1} are available to RedCap UEs, with the same constraint on the minimum value of the product </w:t>
            </w:r>
            <m:oMath>
              <m:sSubSup>
                <m:sSubSupPr>
                  <m:ctrlPr>
                    <w:rPr>
                      <w:rFonts w:ascii="Cambria Math" w:hAnsi="Cambria Math"/>
                      <w:i/>
                      <w:iCs/>
                      <w:lang w:val="en-GB"/>
                    </w:rPr>
                  </m:ctrlPr>
                </m:sSubSupPr>
                <m:e>
                  <m:r>
                    <w:rPr>
                      <w:rFonts w:ascii="Cambria Math" w:hAnsi="Cambria Math"/>
                      <w:lang w:val="en-GB"/>
                    </w:rPr>
                    <m:t>v</m:t>
                  </m:r>
                </m:e>
                <m:sub>
                  <m:r>
                    <w:rPr>
                      <w:rFonts w:ascii="Cambria Math" w:hAnsi="Cambria Math"/>
                      <w:lang w:val="en-GB"/>
                    </w:rPr>
                    <m:t>Layers</m:t>
                  </m:r>
                </m:sub>
                <m:sup>
                  <m:r>
                    <w:rPr>
                      <w:rFonts w:ascii="Cambria Math" w:hAnsi="Cambria Math"/>
                      <w:lang w:val="en-GB"/>
                    </w:rPr>
                    <m:t>(j)</m:t>
                  </m:r>
                </m:sup>
              </m:sSubSup>
              <m:r>
                <w:rPr>
                  <w:rFonts w:ascii="Cambria Math" w:hAnsi="Cambria Math"/>
                  <w:lang w:val="en-GB"/>
                </w:rPr>
                <m:t>⋅</m:t>
              </m:r>
              <m:sSubSup>
                <m:sSubSupPr>
                  <m:ctrlPr>
                    <w:rPr>
                      <w:rFonts w:ascii="Cambria Math" w:hAnsi="Cambria Math"/>
                      <w:i/>
                      <w:iCs/>
                      <w:lang w:val="en-GB"/>
                    </w:rPr>
                  </m:ctrlPr>
                </m:sSubSupPr>
                <m:e>
                  <m:r>
                    <w:rPr>
                      <w:rFonts w:ascii="Cambria Math" w:hAnsi="Cambria Math"/>
                      <w:lang w:val="en-GB"/>
                    </w:rPr>
                    <m:t>Q</m:t>
                  </m:r>
                </m:e>
                <m:sub>
                  <m:r>
                    <w:rPr>
                      <w:rFonts w:ascii="Cambria Math" w:hAnsi="Cambria Math"/>
                      <w:lang w:val="en-GB"/>
                    </w:rPr>
                    <m:t>m</m:t>
                  </m:r>
                </m:sub>
                <m:sup>
                  <m:d>
                    <m:dPr>
                      <m:ctrlPr>
                        <w:rPr>
                          <w:rFonts w:ascii="Cambria Math" w:hAnsi="Cambria Math"/>
                          <w:i/>
                          <w:iCs/>
                          <w:lang w:val="en-GB"/>
                        </w:rPr>
                      </m:ctrlPr>
                    </m:dPr>
                    <m:e>
                      <m:r>
                        <w:rPr>
                          <w:rFonts w:ascii="Cambria Math" w:hAnsi="Cambria Math"/>
                          <w:lang w:val="en-GB"/>
                        </w:rPr>
                        <m:t>j</m:t>
                      </m:r>
                    </m:e>
                  </m:d>
                </m:sup>
              </m:sSubSup>
              <m:r>
                <w:rPr>
                  <w:rFonts w:ascii="Cambria Math" w:hAnsi="Cambria Math"/>
                  <w:lang w:val="en-GB"/>
                </w:rPr>
                <m:t>⋅</m:t>
              </m:r>
              <m:sSubSup>
                <m:sSubSupPr>
                  <m:ctrlPr>
                    <w:rPr>
                      <w:rFonts w:ascii="Cambria Math" w:hAnsi="Cambria Math"/>
                      <w:i/>
                      <w:iCs/>
                      <w:lang w:val="en-GB"/>
                    </w:rPr>
                  </m:ctrlPr>
                </m:sSubSupPr>
                <m:e>
                  <m:r>
                    <w:rPr>
                      <w:rFonts w:ascii="Cambria Math" w:hAnsi="Cambria Math"/>
                      <w:lang w:val="en-GB"/>
                    </w:rPr>
                    <m:t>f</m:t>
                  </m:r>
                </m:e>
                <m:sub/>
                <m:sup>
                  <m:d>
                    <m:dPr>
                      <m:ctrlPr>
                        <w:rPr>
                          <w:rFonts w:ascii="Cambria Math" w:hAnsi="Cambria Math"/>
                          <w:i/>
                          <w:iCs/>
                          <w:lang w:val="en-GB"/>
                        </w:rPr>
                      </m:ctrlPr>
                    </m:dPr>
                    <m:e>
                      <m:r>
                        <w:rPr>
                          <w:rFonts w:ascii="Cambria Math" w:hAnsi="Cambria Math"/>
                          <w:lang w:val="en-GB"/>
                        </w:rPr>
                        <m:t>j</m:t>
                      </m:r>
                    </m:e>
                  </m:d>
                </m:sup>
              </m:sSubSup>
            </m:oMath>
            <w:r w:rsidRPr="002A5BA6">
              <w:rPr>
                <w:i/>
                <w:iCs/>
              </w:rPr>
              <w:t xml:space="preserve">as applicable for single carrier NR SA operation. </w:t>
            </w:r>
          </w:p>
          <w:p w14:paraId="6A1DF2CD" w14:textId="77777777" w:rsidR="002A5BA6" w:rsidRPr="002A5BA6" w:rsidRDefault="002A5BA6" w:rsidP="002A5BA6">
            <w:pPr>
              <w:pStyle w:val="ListParagraph"/>
              <w:numPr>
                <w:ilvl w:val="0"/>
                <w:numId w:val="21"/>
              </w:numPr>
              <w:rPr>
                <w:i/>
                <w:iCs/>
              </w:rPr>
            </w:pPr>
            <w:r w:rsidRPr="002A5BA6">
              <w:rPr>
                <w:b/>
                <w:bCs/>
                <w:i/>
                <w:iCs/>
              </w:rPr>
              <w:t>Opt. 2:</w:t>
            </w:r>
            <w:r w:rsidRPr="002A5BA6">
              <w:rPr>
                <w:i/>
                <w:iCs/>
              </w:rPr>
              <w:t xml:space="preserve"> Scaling factors for peak DL/UL rates with existing values {0.4, 0.75, 0.8, 1} are available to RedCap UEs, with the removal of the constraint on the minimum value of the as applicable for single carrier NR SA operation.</w:t>
            </w:r>
          </w:p>
          <w:p w14:paraId="19F89617" w14:textId="77777777" w:rsidR="002A5BA6" w:rsidRPr="002A5BA6" w:rsidRDefault="002A5BA6" w:rsidP="002A5BA6">
            <w:pPr>
              <w:pStyle w:val="ListParagraph"/>
              <w:numPr>
                <w:ilvl w:val="0"/>
                <w:numId w:val="21"/>
              </w:numPr>
              <w:rPr>
                <w:i/>
                <w:iCs/>
              </w:rPr>
            </w:pPr>
            <w:r w:rsidRPr="002A5BA6">
              <w:rPr>
                <w:b/>
                <w:bCs/>
                <w:i/>
                <w:iCs/>
              </w:rPr>
              <w:t>Opt. 3:</w:t>
            </w:r>
            <w:r w:rsidRPr="002A5BA6">
              <w:rPr>
                <w:i/>
                <w:iCs/>
              </w:rPr>
              <w:t xml:space="preserve"> Scaling factors for peak DL/UL rates with existing values {0.4, 0.75, 0.8, 1} and new smaller values from one or more of: {0.1, 0.2} are available to RedCap UEs, with the relaxation/removal of the constraint on the minimum value of the product </w:t>
            </w:r>
            <m:oMath>
              <m:sSubSup>
                <m:sSubSupPr>
                  <m:ctrlPr>
                    <w:rPr>
                      <w:rFonts w:ascii="Cambria Math" w:hAnsi="Cambria Math"/>
                      <w:i/>
                      <w:iCs/>
                      <w:lang w:val="en-GB"/>
                    </w:rPr>
                  </m:ctrlPr>
                </m:sSubSupPr>
                <m:e>
                  <m:r>
                    <w:rPr>
                      <w:rFonts w:ascii="Cambria Math" w:hAnsi="Cambria Math"/>
                      <w:lang w:val="en-GB"/>
                    </w:rPr>
                    <m:t>v</m:t>
                  </m:r>
                </m:e>
                <m:sub>
                  <m:r>
                    <w:rPr>
                      <w:rFonts w:ascii="Cambria Math" w:hAnsi="Cambria Math"/>
                      <w:lang w:val="en-GB"/>
                    </w:rPr>
                    <m:t>Layers</m:t>
                  </m:r>
                </m:sub>
                <m:sup>
                  <m:r>
                    <w:rPr>
                      <w:rFonts w:ascii="Cambria Math" w:hAnsi="Cambria Math"/>
                      <w:lang w:val="en-GB"/>
                    </w:rPr>
                    <m:t>(j)</m:t>
                  </m:r>
                </m:sup>
              </m:sSubSup>
              <m:r>
                <w:rPr>
                  <w:rFonts w:ascii="Cambria Math" w:hAnsi="Cambria Math"/>
                  <w:lang w:val="en-GB"/>
                </w:rPr>
                <m:t>⋅</m:t>
              </m:r>
              <m:sSubSup>
                <m:sSubSupPr>
                  <m:ctrlPr>
                    <w:rPr>
                      <w:rFonts w:ascii="Cambria Math" w:hAnsi="Cambria Math"/>
                      <w:i/>
                      <w:iCs/>
                      <w:lang w:val="en-GB"/>
                    </w:rPr>
                  </m:ctrlPr>
                </m:sSubSupPr>
                <m:e>
                  <m:r>
                    <w:rPr>
                      <w:rFonts w:ascii="Cambria Math" w:hAnsi="Cambria Math"/>
                      <w:lang w:val="en-GB"/>
                    </w:rPr>
                    <m:t>Q</m:t>
                  </m:r>
                </m:e>
                <m:sub>
                  <m:r>
                    <w:rPr>
                      <w:rFonts w:ascii="Cambria Math" w:hAnsi="Cambria Math"/>
                      <w:lang w:val="en-GB"/>
                    </w:rPr>
                    <m:t>m</m:t>
                  </m:r>
                </m:sub>
                <m:sup>
                  <m:d>
                    <m:dPr>
                      <m:ctrlPr>
                        <w:rPr>
                          <w:rFonts w:ascii="Cambria Math" w:hAnsi="Cambria Math"/>
                          <w:i/>
                          <w:iCs/>
                          <w:lang w:val="en-GB"/>
                        </w:rPr>
                      </m:ctrlPr>
                    </m:dPr>
                    <m:e>
                      <m:r>
                        <w:rPr>
                          <w:rFonts w:ascii="Cambria Math" w:hAnsi="Cambria Math"/>
                          <w:lang w:val="en-GB"/>
                        </w:rPr>
                        <m:t>j</m:t>
                      </m:r>
                    </m:e>
                  </m:d>
                </m:sup>
              </m:sSubSup>
              <m:r>
                <w:rPr>
                  <w:rFonts w:ascii="Cambria Math" w:hAnsi="Cambria Math"/>
                  <w:lang w:val="en-GB"/>
                </w:rPr>
                <m:t>⋅</m:t>
              </m:r>
              <m:sSubSup>
                <m:sSubSupPr>
                  <m:ctrlPr>
                    <w:rPr>
                      <w:rFonts w:ascii="Cambria Math" w:hAnsi="Cambria Math"/>
                      <w:i/>
                      <w:iCs/>
                      <w:lang w:val="en-GB"/>
                    </w:rPr>
                  </m:ctrlPr>
                </m:sSubSupPr>
                <m:e>
                  <m:r>
                    <w:rPr>
                      <w:rFonts w:ascii="Cambria Math" w:hAnsi="Cambria Math"/>
                      <w:lang w:val="en-GB"/>
                    </w:rPr>
                    <m:t>f</m:t>
                  </m:r>
                </m:e>
                <m:sub/>
                <m:sup>
                  <m:d>
                    <m:dPr>
                      <m:ctrlPr>
                        <w:rPr>
                          <w:rFonts w:ascii="Cambria Math" w:hAnsi="Cambria Math"/>
                          <w:i/>
                          <w:iCs/>
                          <w:lang w:val="en-GB"/>
                        </w:rPr>
                      </m:ctrlPr>
                    </m:dPr>
                    <m:e>
                      <m:r>
                        <w:rPr>
                          <w:rFonts w:ascii="Cambria Math" w:hAnsi="Cambria Math"/>
                          <w:lang w:val="en-GB"/>
                        </w:rPr>
                        <m:t>j</m:t>
                      </m:r>
                    </m:e>
                  </m:d>
                </m:sup>
              </m:sSubSup>
            </m:oMath>
            <w:r w:rsidRPr="002A5BA6">
              <w:rPr>
                <w:i/>
                <w:iCs/>
              </w:rPr>
              <w:t>as applicable for single carrier NR SA operation.</w:t>
            </w:r>
          </w:p>
          <w:p w14:paraId="0829365D" w14:textId="76311D3E" w:rsidR="00B70FB9" w:rsidRPr="004632FC" w:rsidRDefault="002A5BA6" w:rsidP="004632FC">
            <w:pPr>
              <w:pStyle w:val="ListParagraph"/>
              <w:numPr>
                <w:ilvl w:val="0"/>
                <w:numId w:val="21"/>
              </w:numPr>
              <w:rPr>
                <w:i/>
                <w:iCs/>
              </w:rPr>
            </w:pPr>
            <w:r w:rsidRPr="002A5BA6">
              <w:rPr>
                <w:b/>
                <w:bCs/>
                <w:i/>
                <w:iCs/>
              </w:rPr>
              <w:t>Opt. 4:</w:t>
            </w:r>
            <w:r w:rsidRPr="002A5BA6">
              <w:rPr>
                <w:i/>
                <w:iCs/>
              </w:rPr>
              <w:t xml:space="preserve"> Scaling factors for peak DL/UL rates are NOT available to RedCap UEs.</w:t>
            </w:r>
          </w:p>
        </w:tc>
      </w:tr>
    </w:tbl>
    <w:p w14:paraId="7A200946" w14:textId="3A10AA48" w:rsidR="00D94166" w:rsidRDefault="00D94166" w:rsidP="00C50EBF">
      <w:pPr>
        <w:spacing w:after="160" w:line="259" w:lineRule="auto"/>
        <w:ind w:right="-99"/>
        <w:rPr>
          <w:sz w:val="20"/>
          <w:szCs w:val="20"/>
          <w:lang w:val="en-GB"/>
        </w:rPr>
      </w:pPr>
    </w:p>
    <w:p w14:paraId="0EFF4FF7" w14:textId="77777777" w:rsidR="00055176" w:rsidRDefault="00D94166" w:rsidP="00C50EBF">
      <w:pPr>
        <w:spacing w:after="160" w:line="259" w:lineRule="auto"/>
        <w:ind w:right="-99"/>
        <w:rPr>
          <w:sz w:val="20"/>
          <w:szCs w:val="20"/>
          <w:lang w:val="en-GB"/>
        </w:rPr>
      </w:pPr>
      <w:r>
        <w:rPr>
          <w:sz w:val="20"/>
          <w:szCs w:val="20"/>
          <w:lang w:val="en-GB"/>
        </w:rPr>
        <w:t xml:space="preserve">However, RAN1 could not reach consensus on </w:t>
      </w:r>
      <w:r w:rsidR="00376724">
        <w:rPr>
          <w:sz w:val="20"/>
          <w:szCs w:val="20"/>
          <w:lang w:val="en-GB"/>
        </w:rPr>
        <w:t xml:space="preserve">the cost/complexity benefits from L2 </w:t>
      </w:r>
      <w:r w:rsidR="00E10752">
        <w:rPr>
          <w:sz w:val="20"/>
          <w:szCs w:val="20"/>
          <w:lang w:val="en-GB"/>
        </w:rPr>
        <w:t xml:space="preserve">buffer size reduction for </w:t>
      </w:r>
      <w:r w:rsidR="00055176">
        <w:rPr>
          <w:sz w:val="20"/>
          <w:szCs w:val="20"/>
          <w:lang w:val="en-GB"/>
        </w:rPr>
        <w:t>RedCap and</w:t>
      </w:r>
      <w:r w:rsidR="00E10752">
        <w:rPr>
          <w:sz w:val="20"/>
          <w:szCs w:val="20"/>
          <w:lang w:val="en-GB"/>
        </w:rPr>
        <w:t xml:space="preserve"> could not converge on one of the above options either. </w:t>
      </w:r>
    </w:p>
    <w:p w14:paraId="2C615CB5" w14:textId="4442D5F8" w:rsidR="00D94166" w:rsidRDefault="00E10752" w:rsidP="00C50EBF">
      <w:pPr>
        <w:spacing w:after="160" w:line="259" w:lineRule="auto"/>
        <w:ind w:right="-99"/>
        <w:rPr>
          <w:sz w:val="20"/>
          <w:szCs w:val="20"/>
          <w:lang w:val="en-GB"/>
        </w:rPr>
      </w:pPr>
      <w:r>
        <w:rPr>
          <w:sz w:val="20"/>
          <w:szCs w:val="20"/>
          <w:lang w:val="en-GB"/>
        </w:rPr>
        <w:t>Since then, RAN1 received an LS from RAN2</w:t>
      </w:r>
      <w:r w:rsidR="00DF3B6D">
        <w:rPr>
          <w:sz w:val="20"/>
          <w:szCs w:val="20"/>
          <w:lang w:val="en-GB"/>
        </w:rPr>
        <w:t xml:space="preserve"> </w:t>
      </w:r>
      <w:r w:rsidR="002620C5">
        <w:rPr>
          <w:sz w:val="20"/>
          <w:szCs w:val="20"/>
          <w:lang w:val="en-GB"/>
        </w:rPr>
        <w:fldChar w:fldCharType="begin"/>
      </w:r>
      <w:r w:rsidR="002620C5">
        <w:rPr>
          <w:sz w:val="20"/>
          <w:szCs w:val="20"/>
          <w:lang w:val="en-GB"/>
        </w:rPr>
        <w:instrText xml:space="preserve"> REF _Ref79183680 \r \h </w:instrText>
      </w:r>
      <w:r w:rsidR="002620C5">
        <w:rPr>
          <w:sz w:val="20"/>
          <w:szCs w:val="20"/>
          <w:lang w:val="en-GB"/>
        </w:rPr>
      </w:r>
      <w:r w:rsidR="002620C5">
        <w:rPr>
          <w:sz w:val="20"/>
          <w:szCs w:val="20"/>
          <w:lang w:val="en-GB"/>
        </w:rPr>
        <w:fldChar w:fldCharType="separate"/>
      </w:r>
      <w:r w:rsidR="002620C5">
        <w:rPr>
          <w:sz w:val="20"/>
          <w:szCs w:val="20"/>
          <w:lang w:val="en-GB"/>
        </w:rPr>
        <w:t>[2]</w:t>
      </w:r>
      <w:r w:rsidR="002620C5">
        <w:rPr>
          <w:sz w:val="20"/>
          <w:szCs w:val="20"/>
          <w:lang w:val="en-GB"/>
        </w:rPr>
        <w:fldChar w:fldCharType="end"/>
      </w:r>
      <w:r w:rsidR="00DF3B6D">
        <w:rPr>
          <w:sz w:val="20"/>
          <w:szCs w:val="20"/>
          <w:lang w:val="en-GB"/>
        </w:rPr>
        <w:t xml:space="preserve">, indicating that </w:t>
      </w:r>
      <w:r w:rsidR="00187339">
        <w:rPr>
          <w:sz w:val="20"/>
          <w:szCs w:val="20"/>
          <w:lang w:val="en-GB"/>
        </w:rPr>
        <w:t xml:space="preserve">they could not reach a conclusion </w:t>
      </w:r>
      <w:r w:rsidR="006A6DF7">
        <w:rPr>
          <w:sz w:val="20"/>
          <w:szCs w:val="20"/>
          <w:lang w:val="en-GB"/>
        </w:rPr>
        <w:t xml:space="preserve">on whether and how to support L2 buffer size reduction for RedCap and </w:t>
      </w:r>
      <w:r w:rsidR="00DF3B6D">
        <w:rPr>
          <w:sz w:val="20"/>
          <w:szCs w:val="20"/>
          <w:lang w:val="en-GB"/>
        </w:rPr>
        <w:t xml:space="preserve">requesting RAN1 to </w:t>
      </w:r>
      <w:r w:rsidR="002A6DF1">
        <w:rPr>
          <w:sz w:val="20"/>
          <w:szCs w:val="20"/>
          <w:lang w:val="en-GB"/>
        </w:rPr>
        <w:t xml:space="preserve">discuss and </w:t>
      </w:r>
      <w:r w:rsidR="00950D90">
        <w:rPr>
          <w:sz w:val="20"/>
          <w:szCs w:val="20"/>
          <w:lang w:val="en-GB"/>
        </w:rPr>
        <w:t xml:space="preserve">provide feedback </w:t>
      </w:r>
      <w:r w:rsidR="002A6DF1">
        <w:rPr>
          <w:sz w:val="20"/>
          <w:szCs w:val="20"/>
          <w:lang w:val="en-GB"/>
        </w:rPr>
        <w:t>on the same.</w:t>
      </w:r>
    </w:p>
    <w:tbl>
      <w:tblPr>
        <w:tblStyle w:val="TableGrid"/>
        <w:tblW w:w="0" w:type="auto"/>
        <w:tblLook w:val="04A0" w:firstRow="1" w:lastRow="0" w:firstColumn="1" w:lastColumn="0" w:noHBand="0" w:noVBand="1"/>
      </w:tblPr>
      <w:tblGrid>
        <w:gridCol w:w="9350"/>
      </w:tblGrid>
      <w:tr w:rsidR="00B70FB9" w14:paraId="40D0BA82" w14:textId="77777777" w:rsidTr="00B70FB9">
        <w:tc>
          <w:tcPr>
            <w:tcW w:w="9350" w:type="dxa"/>
          </w:tcPr>
          <w:p w14:paraId="1D8FA758" w14:textId="77777777" w:rsidR="00B70FB9" w:rsidRPr="00B70FB9" w:rsidRDefault="00B70FB9" w:rsidP="00B70FB9">
            <w:pPr>
              <w:rPr>
                <w:rFonts w:ascii="Arial" w:hAnsi="Arial" w:cs="Arial"/>
                <w:b/>
                <w:i/>
                <w:iCs/>
                <w:sz w:val="22"/>
                <w:szCs w:val="22"/>
              </w:rPr>
            </w:pPr>
            <w:r w:rsidRPr="00B70FB9">
              <w:rPr>
                <w:rFonts w:ascii="Arial" w:hAnsi="Arial" w:cs="Arial"/>
                <w:b/>
                <w:i/>
                <w:iCs/>
                <w:sz w:val="22"/>
                <w:szCs w:val="22"/>
              </w:rPr>
              <w:t>1. Overall Description:</w:t>
            </w:r>
          </w:p>
          <w:p w14:paraId="2B13AEE4" w14:textId="77777777" w:rsidR="00B70FB9" w:rsidRPr="00B70FB9" w:rsidRDefault="00B70FB9" w:rsidP="00B70FB9">
            <w:pPr>
              <w:spacing w:after="60"/>
              <w:rPr>
                <w:rFonts w:ascii="Arial" w:hAnsi="Arial" w:cs="Arial"/>
                <w:bCs/>
                <w:i/>
                <w:iCs/>
                <w:sz w:val="22"/>
                <w:szCs w:val="22"/>
              </w:rPr>
            </w:pPr>
            <w:r w:rsidRPr="00B70FB9">
              <w:rPr>
                <w:rFonts w:ascii="Arial" w:hAnsi="Arial" w:cs="Arial"/>
                <w:bCs/>
                <w:i/>
                <w:iCs/>
                <w:sz w:val="22"/>
                <w:szCs w:val="22"/>
              </w:rPr>
              <w:t>RAN2 discussed several options for L2 buffer size reduction for Rel-17 RedCap in RAN2#114 and RAN2#115 but did not reach any conclusion on whether and how the possible reduction should be made.</w:t>
            </w:r>
          </w:p>
          <w:p w14:paraId="2D292517" w14:textId="77777777" w:rsidR="00B70FB9" w:rsidRPr="00B70FB9" w:rsidRDefault="00B70FB9" w:rsidP="00B70FB9">
            <w:pPr>
              <w:spacing w:after="60"/>
              <w:rPr>
                <w:rFonts w:ascii="Arial" w:hAnsi="Arial" w:cs="Arial"/>
                <w:bCs/>
                <w:i/>
                <w:iCs/>
                <w:sz w:val="22"/>
                <w:szCs w:val="22"/>
              </w:rPr>
            </w:pPr>
          </w:p>
          <w:p w14:paraId="1E80A90B" w14:textId="77777777" w:rsidR="00B70FB9" w:rsidRPr="00B70FB9" w:rsidRDefault="00B70FB9" w:rsidP="00B70FB9">
            <w:pPr>
              <w:spacing w:after="60"/>
              <w:rPr>
                <w:rFonts w:ascii="Arial" w:hAnsi="Arial" w:cs="Arial"/>
                <w:bCs/>
                <w:i/>
                <w:iCs/>
                <w:sz w:val="22"/>
                <w:szCs w:val="22"/>
              </w:rPr>
            </w:pPr>
            <w:r w:rsidRPr="00B70FB9">
              <w:rPr>
                <w:rFonts w:ascii="Arial" w:hAnsi="Arial" w:cs="Arial"/>
                <w:bCs/>
                <w:i/>
                <w:iCs/>
                <w:sz w:val="22"/>
                <w:szCs w:val="22"/>
              </w:rPr>
              <w:t>As this is related to RAN1, RAN2 respectfully ask RAN1 to discuss L2 buffer size reduction and provide feedback to RAN2.</w:t>
            </w:r>
          </w:p>
          <w:p w14:paraId="48E1BBA0" w14:textId="77777777" w:rsidR="00B70FB9" w:rsidRPr="00B70FB9" w:rsidRDefault="00B70FB9" w:rsidP="00B70FB9">
            <w:pPr>
              <w:rPr>
                <w:rFonts w:ascii="Arial" w:hAnsi="Arial" w:cs="Arial"/>
                <w:bCs/>
                <w:i/>
                <w:iCs/>
                <w:sz w:val="22"/>
                <w:szCs w:val="22"/>
              </w:rPr>
            </w:pPr>
          </w:p>
          <w:p w14:paraId="16E7BE8C" w14:textId="77777777" w:rsidR="00B70FB9" w:rsidRPr="00B70FB9" w:rsidRDefault="00B70FB9" w:rsidP="00B70FB9">
            <w:pPr>
              <w:rPr>
                <w:rFonts w:ascii="Arial" w:hAnsi="Arial" w:cs="Arial"/>
                <w:b/>
                <w:i/>
                <w:iCs/>
                <w:sz w:val="22"/>
                <w:szCs w:val="22"/>
              </w:rPr>
            </w:pPr>
            <w:r w:rsidRPr="00B70FB9">
              <w:rPr>
                <w:rFonts w:ascii="Arial" w:hAnsi="Arial" w:cs="Arial"/>
                <w:b/>
                <w:i/>
                <w:iCs/>
                <w:sz w:val="22"/>
                <w:szCs w:val="22"/>
              </w:rPr>
              <w:t>2. Actions:</w:t>
            </w:r>
          </w:p>
          <w:p w14:paraId="5385B708" w14:textId="77777777" w:rsidR="00B70FB9" w:rsidRPr="00B70FB9" w:rsidRDefault="00B70FB9" w:rsidP="00B70FB9">
            <w:pPr>
              <w:ind w:left="1985" w:hanging="1985"/>
              <w:rPr>
                <w:rFonts w:ascii="Arial" w:hAnsi="Arial" w:cs="Arial"/>
                <w:b/>
                <w:i/>
                <w:iCs/>
                <w:sz w:val="22"/>
                <w:szCs w:val="22"/>
              </w:rPr>
            </w:pPr>
            <w:r w:rsidRPr="00B70FB9">
              <w:rPr>
                <w:rFonts w:ascii="Arial" w:hAnsi="Arial" w:cs="Arial"/>
                <w:b/>
                <w:i/>
                <w:iCs/>
                <w:sz w:val="22"/>
                <w:szCs w:val="22"/>
              </w:rPr>
              <w:t xml:space="preserve">To </w:t>
            </w:r>
            <w:r w:rsidRPr="00B70FB9">
              <w:rPr>
                <w:rFonts w:ascii="Arial" w:hAnsi="Arial" w:cs="Arial"/>
                <w:b/>
                <w:i/>
                <w:iCs/>
                <w:sz w:val="22"/>
                <w:szCs w:val="22"/>
                <w:lang w:val="sv-SE"/>
              </w:rPr>
              <w:t>RAN1</w:t>
            </w:r>
            <w:r w:rsidRPr="00B70FB9">
              <w:rPr>
                <w:rFonts w:ascii="Arial" w:hAnsi="Arial" w:cs="Arial"/>
                <w:b/>
                <w:i/>
                <w:iCs/>
                <w:sz w:val="22"/>
                <w:szCs w:val="22"/>
              </w:rPr>
              <w:t xml:space="preserve"> group</w:t>
            </w:r>
          </w:p>
          <w:p w14:paraId="21FEA370" w14:textId="7E008A33" w:rsidR="00B70FB9" w:rsidRPr="00B70FB9" w:rsidRDefault="00B70FB9" w:rsidP="00B70FB9">
            <w:pPr>
              <w:ind w:left="993" w:hanging="993"/>
              <w:rPr>
                <w:rFonts w:ascii="Arial" w:hAnsi="Arial" w:cs="Arial"/>
                <w:bCs/>
                <w:sz w:val="22"/>
                <w:szCs w:val="22"/>
              </w:rPr>
            </w:pPr>
            <w:r w:rsidRPr="00B70FB9">
              <w:rPr>
                <w:rFonts w:ascii="Arial" w:hAnsi="Arial" w:cs="Arial"/>
                <w:b/>
                <w:i/>
                <w:iCs/>
                <w:sz w:val="22"/>
                <w:szCs w:val="22"/>
              </w:rPr>
              <w:t xml:space="preserve">ACTION: </w:t>
            </w:r>
            <w:r w:rsidRPr="00B70FB9">
              <w:rPr>
                <w:rFonts w:ascii="Arial" w:hAnsi="Arial" w:cs="Arial"/>
                <w:bCs/>
                <w:i/>
                <w:iCs/>
                <w:sz w:val="22"/>
                <w:szCs w:val="22"/>
              </w:rPr>
              <w:t>RAN2 respectfully ask RAN1 to discuss L2 buffer size reduction and provide feedback to RAN2.</w:t>
            </w:r>
          </w:p>
        </w:tc>
      </w:tr>
    </w:tbl>
    <w:p w14:paraId="7E2EB0BA" w14:textId="77777777" w:rsidR="00B70FB9" w:rsidRPr="00C50EBF" w:rsidRDefault="00B70FB9" w:rsidP="00C50EBF">
      <w:pPr>
        <w:spacing w:after="160" w:line="259" w:lineRule="auto"/>
        <w:ind w:right="-99"/>
        <w:rPr>
          <w:sz w:val="20"/>
          <w:szCs w:val="20"/>
          <w:lang w:val="en-GB"/>
        </w:rPr>
      </w:pPr>
    </w:p>
    <w:p w14:paraId="2A69BAA6" w14:textId="3E6D2BE6" w:rsidR="00F23B98" w:rsidRPr="00254915" w:rsidRDefault="00D8176C" w:rsidP="00EA006F">
      <w:r w:rsidRPr="00254915">
        <w:lastRenderedPageBreak/>
        <w:t xml:space="preserve">In this </w:t>
      </w:r>
      <w:r w:rsidR="00852F00" w:rsidRPr="00254915">
        <w:t>contribution</w:t>
      </w:r>
      <w:r w:rsidRPr="00254915">
        <w:t xml:space="preserve">, </w:t>
      </w:r>
      <w:r w:rsidR="00E10752">
        <w:t xml:space="preserve">we present our views on the issue </w:t>
      </w:r>
      <w:r w:rsidR="000E2F66">
        <w:t>considering</w:t>
      </w:r>
      <w:r w:rsidR="00E10752">
        <w:t xml:space="preserve"> the </w:t>
      </w:r>
      <w:r w:rsidR="002A6DF1">
        <w:t xml:space="preserve">prior discussions on this issue during RAN1 #106-E and </w:t>
      </w:r>
      <w:r w:rsidR="00B70FB9">
        <w:t>the incoming LS from RAN2</w:t>
      </w:r>
      <w:r w:rsidR="00A76A4E" w:rsidRPr="00254915">
        <w:t xml:space="preserve">. </w:t>
      </w:r>
    </w:p>
    <w:p w14:paraId="796EB1BA" w14:textId="32EE57C3" w:rsidR="007C1B49" w:rsidRDefault="004121AB" w:rsidP="007C1B49">
      <w:pPr>
        <w:pStyle w:val="Heading1"/>
        <w:keepLines/>
        <w:numPr>
          <w:ilvl w:val="0"/>
          <w:numId w:val="1"/>
        </w:numPr>
        <w:pBdr>
          <w:top w:val="single" w:sz="12" w:space="4" w:color="auto"/>
        </w:pBdr>
        <w:overflowPunct w:val="0"/>
        <w:snapToGrid/>
        <w:spacing w:before="240"/>
        <w:jc w:val="left"/>
        <w:textAlignment w:val="baseline"/>
        <w:rPr>
          <w:rFonts w:ascii="Arial" w:hAnsi="Arial"/>
          <w:b w:val="0"/>
          <w:bCs w:val="0"/>
          <w:sz w:val="36"/>
          <w:szCs w:val="20"/>
        </w:rPr>
      </w:pPr>
      <w:bookmarkStart w:id="2" w:name="_Ref53792937"/>
      <w:r>
        <w:rPr>
          <w:rFonts w:ascii="Arial" w:hAnsi="Arial"/>
          <w:b w:val="0"/>
          <w:bCs w:val="0"/>
          <w:sz w:val="36"/>
          <w:szCs w:val="20"/>
        </w:rPr>
        <w:t xml:space="preserve">UE cost/complexity reduction via reduced </w:t>
      </w:r>
      <w:r w:rsidR="000E2F66">
        <w:rPr>
          <w:rFonts w:ascii="Arial" w:hAnsi="Arial"/>
          <w:b w:val="0"/>
          <w:bCs w:val="0"/>
          <w:sz w:val="36"/>
          <w:szCs w:val="20"/>
        </w:rPr>
        <w:t>L2 buffer size</w:t>
      </w:r>
    </w:p>
    <w:p w14:paraId="1960C9F5" w14:textId="77777777" w:rsidR="009E3AB5" w:rsidRDefault="003E1D14" w:rsidP="00A35761">
      <w:r>
        <w:t xml:space="preserve">Adapting the scaling factor for DL/UL peak rates </w:t>
      </w:r>
      <w:r w:rsidR="009E3AB5">
        <w:t xml:space="preserve">offers a means to enable reduced L2 buffer size without impacting any of the underlying requirements at PHY. </w:t>
      </w:r>
    </w:p>
    <w:p w14:paraId="0DA817AC" w14:textId="77777777" w:rsidR="009E3AB5" w:rsidRDefault="009E3AB5" w:rsidP="00A35761">
      <w:r>
        <w:t>However, i</w:t>
      </w:r>
      <w:r w:rsidR="007960BE">
        <w:t xml:space="preserve">n terms of potential cost/complexity reduction via reduced L2 buffer size, </w:t>
      </w:r>
      <w:r w:rsidR="00ED242F">
        <w:t xml:space="preserve">the benefits may not be significant </w:t>
      </w:r>
      <w:r w:rsidR="00B524CB">
        <w:t xml:space="preserve">for RedCap UEs keeping all other requirements </w:t>
      </w:r>
      <w:r w:rsidR="003E1D14">
        <w:t xml:space="preserve">at PHY the same. </w:t>
      </w:r>
    </w:p>
    <w:p w14:paraId="6FE8F7CB" w14:textId="39F38213" w:rsidR="00B11521" w:rsidRDefault="009E3AB5" w:rsidP="00A35761">
      <w:r>
        <w:t>In fact, d</w:t>
      </w:r>
      <w:r w:rsidR="007960BE">
        <w:t xml:space="preserve">uring the SI phase, RAN1 </w:t>
      </w:r>
      <w:r w:rsidR="0058362E">
        <w:t xml:space="preserve">had </w:t>
      </w:r>
      <w:r w:rsidR="007960BE">
        <w:t>considered</w:t>
      </w:r>
      <w:r>
        <w:t xml:space="preserve"> more impactful </w:t>
      </w:r>
      <w:r w:rsidR="0058362E">
        <w:t>cost/complexity reduction features</w:t>
      </w:r>
      <w:r w:rsidR="00AA4C06">
        <w:t xml:space="preserve">, e.g., restricting max TBS values for RedCap UEs in addition to the </w:t>
      </w:r>
      <w:r w:rsidR="00B8188E">
        <w:t xml:space="preserve">BW and Rx branches simplifications. </w:t>
      </w:r>
      <w:r w:rsidR="00441862">
        <w:t>For single carrier operations as applicable to RedCap, limiting max TBS</w:t>
      </w:r>
      <w:r w:rsidR="00B8188E">
        <w:t xml:space="preserve"> </w:t>
      </w:r>
      <w:r w:rsidR="00441862">
        <w:t>would be</w:t>
      </w:r>
      <w:r w:rsidR="008739E9">
        <w:t xml:space="preserve"> much more impactful towards UE cost/complexity reduction with the same overall impact on performance </w:t>
      </w:r>
      <w:r w:rsidR="006C7455">
        <w:t>as for L2 buffer size reduction via scaling down of peak rates</w:t>
      </w:r>
      <w:r w:rsidR="00B34EB6">
        <w:t xml:space="preserve">. </w:t>
      </w:r>
      <w:r w:rsidR="00B40A17">
        <w:t>For the latter option, UE would not be able to exploit the benefits at PHY layer</w:t>
      </w:r>
      <w:r w:rsidR="001E69D1">
        <w:t xml:space="preserve"> although the effect would be similar as limiting max TBS </w:t>
      </w:r>
      <w:r w:rsidR="00441862">
        <w:t>at PHY for single carrier operation</w:t>
      </w:r>
      <w:r w:rsidR="001E69D1">
        <w:t>.</w:t>
      </w:r>
      <w:r w:rsidR="00B40A17">
        <w:t xml:space="preserve"> </w:t>
      </w:r>
      <w:r w:rsidR="00B34EB6">
        <w:t xml:space="preserve">However, it was concluded as not significant enough for </w:t>
      </w:r>
      <w:r w:rsidR="0094088F">
        <w:t xml:space="preserve">meaningful cost/complexity reduction for RedCap UEs. </w:t>
      </w:r>
    </w:p>
    <w:p w14:paraId="1F66DB33" w14:textId="3EDE4D80" w:rsidR="0094088F" w:rsidRDefault="0094088F" w:rsidP="00A35761">
      <w:r>
        <w:t xml:space="preserve">In light of this, it would be straightforward to observe that potential cost/complexity reduction </w:t>
      </w:r>
      <w:r w:rsidR="00CB44CA">
        <w:t>from L2 buffer size reduction only may not be significant</w:t>
      </w:r>
      <w:r w:rsidR="00371C33">
        <w:t xml:space="preserve">. </w:t>
      </w:r>
    </w:p>
    <w:p w14:paraId="39B6E4F6" w14:textId="77777777" w:rsidR="000F7B1B" w:rsidRDefault="000F7B1B" w:rsidP="008A7DFE">
      <w:pPr>
        <w:rPr>
          <w:b/>
          <w:bCs/>
        </w:rPr>
      </w:pPr>
    </w:p>
    <w:p w14:paraId="0DE5231D" w14:textId="2BA6D144" w:rsidR="008A7DFE" w:rsidRDefault="008A7DFE" w:rsidP="008A7DFE">
      <w:pPr>
        <w:rPr>
          <w:b/>
          <w:bCs/>
        </w:rPr>
      </w:pPr>
      <w:r>
        <w:rPr>
          <w:b/>
          <w:bCs/>
        </w:rPr>
        <w:t>Observation</w:t>
      </w:r>
      <w:r w:rsidRPr="000E3E22">
        <w:rPr>
          <w:b/>
          <w:bCs/>
        </w:rPr>
        <w:t xml:space="preserve"> </w:t>
      </w:r>
      <w:r>
        <w:rPr>
          <w:b/>
          <w:bCs/>
        </w:rPr>
        <w:t>1</w:t>
      </w:r>
      <w:r w:rsidRPr="000E3E22">
        <w:rPr>
          <w:b/>
          <w:bCs/>
        </w:rPr>
        <w:t xml:space="preserve">:  </w:t>
      </w:r>
    </w:p>
    <w:p w14:paraId="0FC1699D" w14:textId="77777777" w:rsidR="007D20FE" w:rsidRDefault="007D20FE" w:rsidP="007D20FE">
      <w:pPr>
        <w:pStyle w:val="ListParagraph"/>
        <w:numPr>
          <w:ilvl w:val="0"/>
          <w:numId w:val="2"/>
        </w:numPr>
        <w:rPr>
          <w:i/>
          <w:iCs/>
        </w:rPr>
      </w:pPr>
      <w:r>
        <w:rPr>
          <w:i/>
          <w:iCs/>
        </w:rPr>
        <w:t xml:space="preserve">For single carrier DL/UL operation (as is relevant for RedCap), potential cost/complexity reduction from L2 buffer size reduction only, realized by peak rate scaling, is lower than that from limiting max TBS. </w:t>
      </w:r>
    </w:p>
    <w:p w14:paraId="2605F0DD" w14:textId="26CB8E31" w:rsidR="005A0FD2" w:rsidRDefault="005A0FD2" w:rsidP="008A7DFE">
      <w:pPr>
        <w:pStyle w:val="ListParagraph"/>
        <w:numPr>
          <w:ilvl w:val="0"/>
          <w:numId w:val="2"/>
        </w:numPr>
        <w:rPr>
          <w:i/>
          <w:iCs/>
        </w:rPr>
      </w:pPr>
      <w:r>
        <w:rPr>
          <w:i/>
          <w:iCs/>
        </w:rPr>
        <w:t xml:space="preserve">During RAN1 SI on RedCap, limiting max TBS was not considered </w:t>
      </w:r>
      <w:r w:rsidR="00104FD7">
        <w:rPr>
          <w:i/>
          <w:iCs/>
        </w:rPr>
        <w:t>to provide significant benefits to warrant its recommendation for specification as a cost/complexity reduction feature.</w:t>
      </w:r>
    </w:p>
    <w:p w14:paraId="03FA1290" w14:textId="77777777" w:rsidR="000F7B1B" w:rsidRDefault="000F7B1B" w:rsidP="00DA4E7F"/>
    <w:p w14:paraId="6F5F611C" w14:textId="396C1F50" w:rsidR="00081E11" w:rsidRDefault="00DA4E7F" w:rsidP="00DA4E7F">
      <w:r>
        <w:t xml:space="preserve">Following from the above, </w:t>
      </w:r>
      <w:r w:rsidR="001508E3">
        <w:t>we</w:t>
      </w:r>
      <w:r w:rsidR="00081E11">
        <w:t xml:space="preserve"> revisit the options identified from RAN1 #106-E meeting:</w:t>
      </w:r>
    </w:p>
    <w:p w14:paraId="6EC3CA60" w14:textId="77777777" w:rsidR="00081E11" w:rsidRPr="002A5BA6" w:rsidRDefault="00081E11" w:rsidP="00081E11">
      <w:pPr>
        <w:pStyle w:val="ListParagraph"/>
        <w:numPr>
          <w:ilvl w:val="0"/>
          <w:numId w:val="21"/>
        </w:numPr>
        <w:rPr>
          <w:i/>
          <w:iCs/>
        </w:rPr>
      </w:pPr>
      <w:r w:rsidRPr="002A5BA6">
        <w:rPr>
          <w:b/>
          <w:bCs/>
          <w:i/>
          <w:iCs/>
        </w:rPr>
        <w:t>Opt. 1:</w:t>
      </w:r>
      <w:r w:rsidRPr="002A5BA6">
        <w:rPr>
          <w:i/>
          <w:iCs/>
        </w:rPr>
        <w:t xml:space="preserve"> Scaling factors for peak DL/UL rates with existing values {0.4, 0.75, 0.8, 1} are available to RedCap UEs, with the same constraint on the minimum value of the product </w:t>
      </w:r>
      <m:oMath>
        <m:sSubSup>
          <m:sSubSupPr>
            <m:ctrlPr>
              <w:rPr>
                <w:rFonts w:ascii="Cambria Math" w:hAnsi="Cambria Math"/>
                <w:i/>
                <w:iCs/>
                <w:lang w:val="en-GB"/>
              </w:rPr>
            </m:ctrlPr>
          </m:sSubSupPr>
          <m:e>
            <m:r>
              <w:rPr>
                <w:rFonts w:ascii="Cambria Math" w:hAnsi="Cambria Math"/>
                <w:lang w:val="en-GB"/>
              </w:rPr>
              <m:t>v</m:t>
            </m:r>
          </m:e>
          <m:sub>
            <m:r>
              <w:rPr>
                <w:rFonts w:ascii="Cambria Math" w:hAnsi="Cambria Math"/>
                <w:lang w:val="en-GB"/>
              </w:rPr>
              <m:t>Layers</m:t>
            </m:r>
          </m:sub>
          <m:sup>
            <m:r>
              <w:rPr>
                <w:rFonts w:ascii="Cambria Math" w:hAnsi="Cambria Math"/>
                <w:lang w:val="en-GB"/>
              </w:rPr>
              <m:t>(j)</m:t>
            </m:r>
          </m:sup>
        </m:sSubSup>
        <m:r>
          <w:rPr>
            <w:rFonts w:ascii="Cambria Math" w:hAnsi="Cambria Math"/>
            <w:lang w:val="en-GB"/>
          </w:rPr>
          <m:t>⋅</m:t>
        </m:r>
        <m:sSubSup>
          <m:sSubSupPr>
            <m:ctrlPr>
              <w:rPr>
                <w:rFonts w:ascii="Cambria Math" w:hAnsi="Cambria Math"/>
                <w:i/>
                <w:iCs/>
                <w:lang w:val="en-GB"/>
              </w:rPr>
            </m:ctrlPr>
          </m:sSubSupPr>
          <m:e>
            <m:r>
              <w:rPr>
                <w:rFonts w:ascii="Cambria Math" w:hAnsi="Cambria Math"/>
                <w:lang w:val="en-GB"/>
              </w:rPr>
              <m:t>Q</m:t>
            </m:r>
          </m:e>
          <m:sub>
            <m:r>
              <w:rPr>
                <w:rFonts w:ascii="Cambria Math" w:hAnsi="Cambria Math"/>
                <w:lang w:val="en-GB"/>
              </w:rPr>
              <m:t>m</m:t>
            </m:r>
          </m:sub>
          <m:sup>
            <m:d>
              <m:dPr>
                <m:ctrlPr>
                  <w:rPr>
                    <w:rFonts w:ascii="Cambria Math" w:hAnsi="Cambria Math"/>
                    <w:i/>
                    <w:iCs/>
                    <w:lang w:val="en-GB"/>
                  </w:rPr>
                </m:ctrlPr>
              </m:dPr>
              <m:e>
                <m:r>
                  <w:rPr>
                    <w:rFonts w:ascii="Cambria Math" w:hAnsi="Cambria Math"/>
                    <w:lang w:val="en-GB"/>
                  </w:rPr>
                  <m:t>j</m:t>
                </m:r>
              </m:e>
            </m:d>
          </m:sup>
        </m:sSubSup>
        <m:r>
          <w:rPr>
            <w:rFonts w:ascii="Cambria Math" w:hAnsi="Cambria Math"/>
            <w:lang w:val="en-GB"/>
          </w:rPr>
          <m:t>⋅</m:t>
        </m:r>
        <m:sSubSup>
          <m:sSubSupPr>
            <m:ctrlPr>
              <w:rPr>
                <w:rFonts w:ascii="Cambria Math" w:hAnsi="Cambria Math"/>
                <w:i/>
                <w:iCs/>
                <w:lang w:val="en-GB"/>
              </w:rPr>
            </m:ctrlPr>
          </m:sSubSupPr>
          <m:e>
            <m:r>
              <w:rPr>
                <w:rFonts w:ascii="Cambria Math" w:hAnsi="Cambria Math"/>
                <w:lang w:val="en-GB"/>
              </w:rPr>
              <m:t>f</m:t>
            </m:r>
          </m:e>
          <m:sub/>
          <m:sup>
            <m:d>
              <m:dPr>
                <m:ctrlPr>
                  <w:rPr>
                    <w:rFonts w:ascii="Cambria Math" w:hAnsi="Cambria Math"/>
                    <w:i/>
                    <w:iCs/>
                    <w:lang w:val="en-GB"/>
                  </w:rPr>
                </m:ctrlPr>
              </m:dPr>
              <m:e>
                <m:r>
                  <w:rPr>
                    <w:rFonts w:ascii="Cambria Math" w:hAnsi="Cambria Math"/>
                    <w:lang w:val="en-GB"/>
                  </w:rPr>
                  <m:t>j</m:t>
                </m:r>
              </m:e>
            </m:d>
          </m:sup>
        </m:sSubSup>
      </m:oMath>
      <w:r w:rsidRPr="002A5BA6">
        <w:rPr>
          <w:i/>
          <w:iCs/>
        </w:rPr>
        <w:t xml:space="preserve">as applicable for single carrier NR SA operation. </w:t>
      </w:r>
    </w:p>
    <w:p w14:paraId="6837AA53" w14:textId="77777777" w:rsidR="00081E11" w:rsidRPr="002A5BA6" w:rsidRDefault="00081E11" w:rsidP="00081E11">
      <w:pPr>
        <w:pStyle w:val="ListParagraph"/>
        <w:numPr>
          <w:ilvl w:val="0"/>
          <w:numId w:val="21"/>
        </w:numPr>
        <w:rPr>
          <w:i/>
          <w:iCs/>
        </w:rPr>
      </w:pPr>
      <w:r w:rsidRPr="002A5BA6">
        <w:rPr>
          <w:b/>
          <w:bCs/>
          <w:i/>
          <w:iCs/>
        </w:rPr>
        <w:t>Opt. 2:</w:t>
      </w:r>
      <w:r w:rsidRPr="002A5BA6">
        <w:rPr>
          <w:i/>
          <w:iCs/>
        </w:rPr>
        <w:t xml:space="preserve"> Scaling factors for peak DL/UL rates with existing values {0.4, 0.75, 0.8, 1} are available to RedCap UEs, with the removal of the constraint on the minimum value of the as applicable for single carrier NR SA operation.</w:t>
      </w:r>
    </w:p>
    <w:p w14:paraId="1E6C6F67" w14:textId="77777777" w:rsidR="00081E11" w:rsidRDefault="00081E11" w:rsidP="00081E11">
      <w:pPr>
        <w:pStyle w:val="ListParagraph"/>
        <w:numPr>
          <w:ilvl w:val="0"/>
          <w:numId w:val="21"/>
        </w:numPr>
        <w:rPr>
          <w:i/>
          <w:iCs/>
        </w:rPr>
      </w:pPr>
      <w:r w:rsidRPr="002A5BA6">
        <w:rPr>
          <w:b/>
          <w:bCs/>
          <w:i/>
          <w:iCs/>
        </w:rPr>
        <w:t>Opt. 3:</w:t>
      </w:r>
      <w:r w:rsidRPr="002A5BA6">
        <w:rPr>
          <w:i/>
          <w:iCs/>
        </w:rPr>
        <w:t xml:space="preserve"> Scaling factors for peak DL/UL rates with existing values {0.4, 0.75, 0.8, 1} and new smaller values from one or more of: {0.1, 0.2} are available to RedCap UEs, with the relaxation/removal of the constraint on the minimum value of the product </w:t>
      </w:r>
      <m:oMath>
        <m:sSubSup>
          <m:sSubSupPr>
            <m:ctrlPr>
              <w:rPr>
                <w:rFonts w:ascii="Cambria Math" w:hAnsi="Cambria Math"/>
                <w:i/>
                <w:iCs/>
                <w:lang w:val="en-GB"/>
              </w:rPr>
            </m:ctrlPr>
          </m:sSubSupPr>
          <m:e>
            <m:r>
              <w:rPr>
                <w:rFonts w:ascii="Cambria Math" w:hAnsi="Cambria Math"/>
                <w:lang w:val="en-GB"/>
              </w:rPr>
              <m:t>v</m:t>
            </m:r>
          </m:e>
          <m:sub>
            <m:r>
              <w:rPr>
                <w:rFonts w:ascii="Cambria Math" w:hAnsi="Cambria Math"/>
                <w:lang w:val="en-GB"/>
              </w:rPr>
              <m:t>Layers</m:t>
            </m:r>
          </m:sub>
          <m:sup>
            <m:r>
              <w:rPr>
                <w:rFonts w:ascii="Cambria Math" w:hAnsi="Cambria Math"/>
                <w:lang w:val="en-GB"/>
              </w:rPr>
              <m:t>(j)</m:t>
            </m:r>
          </m:sup>
        </m:sSubSup>
        <m:r>
          <w:rPr>
            <w:rFonts w:ascii="Cambria Math" w:hAnsi="Cambria Math"/>
            <w:lang w:val="en-GB"/>
          </w:rPr>
          <m:t>⋅</m:t>
        </m:r>
        <m:sSubSup>
          <m:sSubSupPr>
            <m:ctrlPr>
              <w:rPr>
                <w:rFonts w:ascii="Cambria Math" w:hAnsi="Cambria Math"/>
                <w:i/>
                <w:iCs/>
                <w:lang w:val="en-GB"/>
              </w:rPr>
            </m:ctrlPr>
          </m:sSubSupPr>
          <m:e>
            <m:r>
              <w:rPr>
                <w:rFonts w:ascii="Cambria Math" w:hAnsi="Cambria Math"/>
                <w:lang w:val="en-GB"/>
              </w:rPr>
              <m:t>Q</m:t>
            </m:r>
          </m:e>
          <m:sub>
            <m:r>
              <w:rPr>
                <w:rFonts w:ascii="Cambria Math" w:hAnsi="Cambria Math"/>
                <w:lang w:val="en-GB"/>
              </w:rPr>
              <m:t>m</m:t>
            </m:r>
          </m:sub>
          <m:sup>
            <m:d>
              <m:dPr>
                <m:ctrlPr>
                  <w:rPr>
                    <w:rFonts w:ascii="Cambria Math" w:hAnsi="Cambria Math"/>
                    <w:i/>
                    <w:iCs/>
                    <w:lang w:val="en-GB"/>
                  </w:rPr>
                </m:ctrlPr>
              </m:dPr>
              <m:e>
                <m:r>
                  <w:rPr>
                    <w:rFonts w:ascii="Cambria Math" w:hAnsi="Cambria Math"/>
                    <w:lang w:val="en-GB"/>
                  </w:rPr>
                  <m:t>j</m:t>
                </m:r>
              </m:e>
            </m:d>
          </m:sup>
        </m:sSubSup>
        <m:r>
          <w:rPr>
            <w:rFonts w:ascii="Cambria Math" w:hAnsi="Cambria Math"/>
            <w:lang w:val="en-GB"/>
          </w:rPr>
          <m:t>⋅</m:t>
        </m:r>
        <m:sSubSup>
          <m:sSubSupPr>
            <m:ctrlPr>
              <w:rPr>
                <w:rFonts w:ascii="Cambria Math" w:hAnsi="Cambria Math"/>
                <w:i/>
                <w:iCs/>
                <w:lang w:val="en-GB"/>
              </w:rPr>
            </m:ctrlPr>
          </m:sSubSupPr>
          <m:e>
            <m:r>
              <w:rPr>
                <w:rFonts w:ascii="Cambria Math" w:hAnsi="Cambria Math"/>
                <w:lang w:val="en-GB"/>
              </w:rPr>
              <m:t>f</m:t>
            </m:r>
          </m:e>
          <m:sub/>
          <m:sup>
            <m:d>
              <m:dPr>
                <m:ctrlPr>
                  <w:rPr>
                    <w:rFonts w:ascii="Cambria Math" w:hAnsi="Cambria Math"/>
                    <w:i/>
                    <w:iCs/>
                    <w:lang w:val="en-GB"/>
                  </w:rPr>
                </m:ctrlPr>
              </m:dPr>
              <m:e>
                <m:r>
                  <w:rPr>
                    <w:rFonts w:ascii="Cambria Math" w:hAnsi="Cambria Math"/>
                    <w:lang w:val="en-GB"/>
                  </w:rPr>
                  <m:t>j</m:t>
                </m:r>
              </m:e>
            </m:d>
          </m:sup>
        </m:sSubSup>
      </m:oMath>
      <w:r w:rsidRPr="002A5BA6">
        <w:rPr>
          <w:i/>
          <w:iCs/>
        </w:rPr>
        <w:t>as applicable for single carrier NR SA operation.</w:t>
      </w:r>
    </w:p>
    <w:p w14:paraId="35ABD136" w14:textId="55DD1B48" w:rsidR="00081E11" w:rsidRPr="00081E11" w:rsidRDefault="00081E11" w:rsidP="00081E11">
      <w:pPr>
        <w:pStyle w:val="ListParagraph"/>
        <w:numPr>
          <w:ilvl w:val="0"/>
          <w:numId w:val="21"/>
        </w:numPr>
        <w:rPr>
          <w:i/>
          <w:iCs/>
        </w:rPr>
      </w:pPr>
      <w:r w:rsidRPr="00081E11">
        <w:rPr>
          <w:b/>
          <w:bCs/>
          <w:i/>
          <w:iCs/>
        </w:rPr>
        <w:t>Opt. 4:</w:t>
      </w:r>
      <w:r w:rsidRPr="00081E11">
        <w:rPr>
          <w:i/>
          <w:iCs/>
        </w:rPr>
        <w:t xml:space="preserve"> Scaling factors for peak DL/UL rates are NOT available to RedCap UEs.</w:t>
      </w:r>
    </w:p>
    <w:p w14:paraId="104CD3AF" w14:textId="77777777" w:rsidR="008A281E" w:rsidRDefault="00081E11" w:rsidP="00DA4E7F">
      <w:r>
        <w:t>We</w:t>
      </w:r>
      <w:r w:rsidR="001508E3">
        <w:t xml:space="preserve"> recommend adopting either of Option 1 or Option 4 from the earlier-identified options on the issue of applicability of </w:t>
      </w:r>
      <w:r>
        <w:t xml:space="preserve">DL/UL peak rate scaling factors for RedCap UEs. </w:t>
      </w:r>
    </w:p>
    <w:p w14:paraId="6501FAD6" w14:textId="77777777" w:rsidR="000F7B1B" w:rsidRDefault="008A281E" w:rsidP="00DA4E7F">
      <w:r>
        <w:t xml:space="preserve">Option 4 follows from the above discussion and considering that the original motivations for introduction of scaling factors for DL/UL peak rates in Rel-15 </w:t>
      </w:r>
      <w:r w:rsidR="007A4C41">
        <w:t xml:space="preserve">are not relevant to single carrier operation </w:t>
      </w:r>
      <w:r w:rsidR="000F7B1B">
        <w:t xml:space="preserve">which is the only case valid for RedCap UEs. </w:t>
      </w:r>
    </w:p>
    <w:p w14:paraId="4F77107D" w14:textId="30DA0D43" w:rsidR="00DA4E7F" w:rsidRDefault="000F7B1B" w:rsidP="00DA4E7F">
      <w:r>
        <w:lastRenderedPageBreak/>
        <w:t xml:space="preserve">On the other hand, </w:t>
      </w:r>
      <w:r w:rsidR="00081E11">
        <w:t xml:space="preserve">Option 1 </w:t>
      </w:r>
      <w:r w:rsidR="00EF29BF">
        <w:t xml:space="preserve">means essentially no change to the current specifications and the existing relaxation would still be available to RedCap UEs. This would allow a RedCap UE to </w:t>
      </w:r>
      <w:r w:rsidR="00B60565">
        <w:t xml:space="preserve">support a reduced peak DL rate of around 60 Mbps compared to around 80 Mbps </w:t>
      </w:r>
      <w:r w:rsidR="008A281E">
        <w:t xml:space="preserve">which is the minimum peak DL rate for RedCap UEs with scaling factor = 1 (and similar reduction for UL rates as well). </w:t>
      </w:r>
    </w:p>
    <w:p w14:paraId="14C1A92A" w14:textId="77777777" w:rsidR="000F7B1B" w:rsidRDefault="000F7B1B" w:rsidP="000F7B1B">
      <w:pPr>
        <w:rPr>
          <w:b/>
          <w:bCs/>
        </w:rPr>
      </w:pPr>
    </w:p>
    <w:p w14:paraId="1AEEFE84" w14:textId="406F9C08" w:rsidR="000F7B1B" w:rsidRDefault="000F7B1B" w:rsidP="000F7B1B">
      <w:pPr>
        <w:rPr>
          <w:b/>
          <w:bCs/>
        </w:rPr>
      </w:pPr>
      <w:r>
        <w:rPr>
          <w:b/>
          <w:bCs/>
        </w:rPr>
        <w:t>Proposal</w:t>
      </w:r>
      <w:r w:rsidRPr="000E3E22">
        <w:rPr>
          <w:b/>
          <w:bCs/>
        </w:rPr>
        <w:t xml:space="preserve"> </w:t>
      </w:r>
      <w:r>
        <w:rPr>
          <w:b/>
          <w:bCs/>
        </w:rPr>
        <w:t>1</w:t>
      </w:r>
      <w:r w:rsidRPr="000E3E22">
        <w:rPr>
          <w:b/>
          <w:bCs/>
        </w:rPr>
        <w:t xml:space="preserve">:  </w:t>
      </w:r>
    </w:p>
    <w:p w14:paraId="77E55B71" w14:textId="77777777" w:rsidR="00AF5EF5" w:rsidRDefault="00AF5EF5" w:rsidP="000F7B1B">
      <w:pPr>
        <w:pStyle w:val="ListParagraph"/>
        <w:numPr>
          <w:ilvl w:val="0"/>
          <w:numId w:val="2"/>
        </w:numPr>
        <w:rPr>
          <w:i/>
          <w:iCs/>
        </w:rPr>
      </w:pPr>
      <w:r>
        <w:rPr>
          <w:i/>
          <w:iCs/>
        </w:rPr>
        <w:t>Adopt one of the following options f</w:t>
      </w:r>
      <w:r w:rsidR="000F7B1B">
        <w:rPr>
          <w:i/>
          <w:iCs/>
        </w:rPr>
        <w:t>or handling of scaling factors for DL/UL peak rates for RedCap UEs</w:t>
      </w:r>
      <w:r>
        <w:rPr>
          <w:i/>
          <w:iCs/>
        </w:rPr>
        <w:t>:</w:t>
      </w:r>
    </w:p>
    <w:p w14:paraId="22860A76" w14:textId="390BDB4A" w:rsidR="00AF5EF5" w:rsidRPr="002A5BA6" w:rsidRDefault="00AF5EF5" w:rsidP="00AF5EF5">
      <w:pPr>
        <w:pStyle w:val="ListParagraph"/>
        <w:numPr>
          <w:ilvl w:val="1"/>
          <w:numId w:val="21"/>
        </w:numPr>
        <w:rPr>
          <w:i/>
          <w:iCs/>
        </w:rPr>
      </w:pPr>
      <w:r w:rsidRPr="002A5BA6">
        <w:rPr>
          <w:b/>
          <w:bCs/>
          <w:i/>
          <w:iCs/>
        </w:rPr>
        <w:t>Opt. 1:</w:t>
      </w:r>
      <w:r w:rsidRPr="002A5BA6">
        <w:rPr>
          <w:i/>
          <w:iCs/>
        </w:rPr>
        <w:t xml:space="preserve"> Scaling factors for peak DL/UL rates with existing values {0.4, 0.75, 0.8, 1} are available to RedCap UEs, with the same constraint on the minimum value of the product </w:t>
      </w:r>
      <m:oMath>
        <m:sSubSup>
          <m:sSubSupPr>
            <m:ctrlPr>
              <w:rPr>
                <w:rFonts w:ascii="Cambria Math" w:hAnsi="Cambria Math"/>
                <w:i/>
                <w:iCs/>
                <w:lang w:val="en-GB"/>
              </w:rPr>
            </m:ctrlPr>
          </m:sSubSupPr>
          <m:e>
            <m:r>
              <w:rPr>
                <w:rFonts w:ascii="Cambria Math" w:hAnsi="Cambria Math"/>
                <w:lang w:val="en-GB"/>
              </w:rPr>
              <m:t>v</m:t>
            </m:r>
          </m:e>
          <m:sub>
            <m:r>
              <w:rPr>
                <w:rFonts w:ascii="Cambria Math" w:hAnsi="Cambria Math"/>
                <w:lang w:val="en-GB"/>
              </w:rPr>
              <m:t>Layers</m:t>
            </m:r>
          </m:sub>
          <m:sup>
            <m:r>
              <w:rPr>
                <w:rFonts w:ascii="Cambria Math" w:hAnsi="Cambria Math"/>
                <w:lang w:val="en-GB"/>
              </w:rPr>
              <m:t>(j)</m:t>
            </m:r>
          </m:sup>
        </m:sSubSup>
        <m:r>
          <w:rPr>
            <w:rFonts w:ascii="Cambria Math" w:hAnsi="Cambria Math"/>
            <w:lang w:val="en-GB"/>
          </w:rPr>
          <m:t>⋅</m:t>
        </m:r>
        <m:sSubSup>
          <m:sSubSupPr>
            <m:ctrlPr>
              <w:rPr>
                <w:rFonts w:ascii="Cambria Math" w:hAnsi="Cambria Math"/>
                <w:i/>
                <w:iCs/>
                <w:lang w:val="en-GB"/>
              </w:rPr>
            </m:ctrlPr>
          </m:sSubSupPr>
          <m:e>
            <m:r>
              <w:rPr>
                <w:rFonts w:ascii="Cambria Math" w:hAnsi="Cambria Math"/>
                <w:lang w:val="en-GB"/>
              </w:rPr>
              <m:t>Q</m:t>
            </m:r>
          </m:e>
          <m:sub>
            <m:r>
              <w:rPr>
                <w:rFonts w:ascii="Cambria Math" w:hAnsi="Cambria Math"/>
                <w:lang w:val="en-GB"/>
              </w:rPr>
              <m:t>m</m:t>
            </m:r>
          </m:sub>
          <m:sup>
            <m:d>
              <m:dPr>
                <m:ctrlPr>
                  <w:rPr>
                    <w:rFonts w:ascii="Cambria Math" w:hAnsi="Cambria Math"/>
                    <w:i/>
                    <w:iCs/>
                    <w:lang w:val="en-GB"/>
                  </w:rPr>
                </m:ctrlPr>
              </m:dPr>
              <m:e>
                <m:r>
                  <w:rPr>
                    <w:rFonts w:ascii="Cambria Math" w:hAnsi="Cambria Math"/>
                    <w:lang w:val="en-GB"/>
                  </w:rPr>
                  <m:t>j</m:t>
                </m:r>
              </m:e>
            </m:d>
          </m:sup>
        </m:sSubSup>
        <m:r>
          <w:rPr>
            <w:rFonts w:ascii="Cambria Math" w:hAnsi="Cambria Math"/>
            <w:lang w:val="en-GB"/>
          </w:rPr>
          <m:t>⋅</m:t>
        </m:r>
        <m:sSubSup>
          <m:sSubSupPr>
            <m:ctrlPr>
              <w:rPr>
                <w:rFonts w:ascii="Cambria Math" w:hAnsi="Cambria Math"/>
                <w:i/>
                <w:iCs/>
                <w:lang w:val="en-GB"/>
              </w:rPr>
            </m:ctrlPr>
          </m:sSubSupPr>
          <m:e>
            <m:r>
              <w:rPr>
                <w:rFonts w:ascii="Cambria Math" w:hAnsi="Cambria Math"/>
                <w:lang w:val="en-GB"/>
              </w:rPr>
              <m:t>f</m:t>
            </m:r>
          </m:e>
          <m:sub/>
          <m:sup>
            <m:d>
              <m:dPr>
                <m:ctrlPr>
                  <w:rPr>
                    <w:rFonts w:ascii="Cambria Math" w:hAnsi="Cambria Math"/>
                    <w:i/>
                    <w:iCs/>
                    <w:lang w:val="en-GB"/>
                  </w:rPr>
                </m:ctrlPr>
              </m:dPr>
              <m:e>
                <m:r>
                  <w:rPr>
                    <w:rFonts w:ascii="Cambria Math" w:hAnsi="Cambria Math"/>
                    <w:lang w:val="en-GB"/>
                  </w:rPr>
                  <m:t>j</m:t>
                </m:r>
              </m:e>
            </m:d>
          </m:sup>
        </m:sSubSup>
      </m:oMath>
      <w:r w:rsidRPr="002A5BA6">
        <w:rPr>
          <w:i/>
          <w:iCs/>
        </w:rPr>
        <w:t xml:space="preserve">as applicable for single carrier NR SA operation. </w:t>
      </w:r>
    </w:p>
    <w:p w14:paraId="0B80956D" w14:textId="77777777" w:rsidR="00AF5EF5" w:rsidRPr="00081E11" w:rsidRDefault="00AF5EF5" w:rsidP="00AF5EF5">
      <w:pPr>
        <w:pStyle w:val="ListParagraph"/>
        <w:numPr>
          <w:ilvl w:val="1"/>
          <w:numId w:val="21"/>
        </w:numPr>
        <w:rPr>
          <w:i/>
          <w:iCs/>
        </w:rPr>
      </w:pPr>
      <w:r w:rsidRPr="00081E11">
        <w:rPr>
          <w:b/>
          <w:bCs/>
          <w:i/>
          <w:iCs/>
        </w:rPr>
        <w:t>Opt. 4:</w:t>
      </w:r>
      <w:r w:rsidRPr="00081E11">
        <w:rPr>
          <w:i/>
          <w:iCs/>
        </w:rPr>
        <w:t xml:space="preserve"> Scaling factors for peak DL/UL rates are NOT available to RedCap UEs.</w:t>
      </w:r>
    </w:p>
    <w:p w14:paraId="5DA6DBE1" w14:textId="7835CDE9" w:rsidR="000F7B1B" w:rsidRDefault="00505855" w:rsidP="00505855">
      <w:pPr>
        <w:pStyle w:val="ListParagraph"/>
        <w:numPr>
          <w:ilvl w:val="0"/>
          <w:numId w:val="2"/>
        </w:numPr>
        <w:rPr>
          <w:i/>
          <w:iCs/>
        </w:rPr>
      </w:pPr>
      <w:r>
        <w:rPr>
          <w:i/>
          <w:iCs/>
        </w:rPr>
        <w:t>Send a response LS to RAN2 conveying the RAN1 decision.</w:t>
      </w:r>
    </w:p>
    <w:bookmarkEnd w:id="2"/>
    <w:p w14:paraId="6A7F08CD" w14:textId="3500BB17" w:rsidR="00881815" w:rsidRPr="00C56AAB" w:rsidRDefault="00881815" w:rsidP="008974D5">
      <w:pPr>
        <w:pStyle w:val="Heading1"/>
        <w:keepLines/>
        <w:numPr>
          <w:ilvl w:val="0"/>
          <w:numId w:val="1"/>
        </w:numPr>
        <w:pBdr>
          <w:top w:val="single" w:sz="12" w:space="4" w:color="auto"/>
        </w:pBdr>
        <w:overflowPunct w:val="0"/>
        <w:snapToGrid/>
        <w:spacing w:before="240"/>
        <w:ind w:left="431" w:hanging="431"/>
        <w:jc w:val="left"/>
        <w:textAlignment w:val="baseline"/>
        <w:rPr>
          <w:rFonts w:ascii="Arial" w:hAnsi="Arial"/>
          <w:b w:val="0"/>
          <w:bCs w:val="0"/>
          <w:sz w:val="36"/>
          <w:szCs w:val="20"/>
        </w:rPr>
      </w:pPr>
      <w:r w:rsidRPr="00C56AAB">
        <w:rPr>
          <w:rFonts w:ascii="Arial" w:hAnsi="Arial"/>
          <w:b w:val="0"/>
          <w:bCs w:val="0"/>
          <w:sz w:val="36"/>
          <w:szCs w:val="20"/>
        </w:rPr>
        <w:t>Conclusions</w:t>
      </w:r>
    </w:p>
    <w:p w14:paraId="6FC52AB6" w14:textId="286A3DCB" w:rsidR="00AB54CC" w:rsidRDefault="00AB54CC" w:rsidP="00C76B23">
      <w:pPr>
        <w:pStyle w:val="3GPPNormalText"/>
        <w:rPr>
          <w:sz w:val="22"/>
          <w:szCs w:val="28"/>
        </w:rPr>
      </w:pPr>
      <w:r w:rsidRPr="00AB54CC">
        <w:rPr>
          <w:sz w:val="22"/>
          <w:szCs w:val="28"/>
        </w:rPr>
        <w:t xml:space="preserve">In this contribution, </w:t>
      </w:r>
      <w:r w:rsidR="006C1C2B" w:rsidRPr="006C1C2B">
        <w:rPr>
          <w:sz w:val="22"/>
          <w:szCs w:val="28"/>
        </w:rPr>
        <w:t>we present</w:t>
      </w:r>
      <w:r w:rsidR="006C1C2B">
        <w:rPr>
          <w:sz w:val="22"/>
          <w:szCs w:val="28"/>
        </w:rPr>
        <w:t>ed</w:t>
      </w:r>
      <w:r w:rsidR="006C1C2B" w:rsidRPr="006C1C2B">
        <w:rPr>
          <w:sz w:val="22"/>
          <w:szCs w:val="28"/>
        </w:rPr>
        <w:t xml:space="preserve"> </w:t>
      </w:r>
      <w:r w:rsidR="00DD4C52">
        <w:rPr>
          <w:sz w:val="22"/>
          <w:szCs w:val="28"/>
        </w:rPr>
        <w:t>o</w:t>
      </w:r>
      <w:r w:rsidR="00DD4C52" w:rsidRPr="00DD4C52">
        <w:rPr>
          <w:sz w:val="22"/>
          <w:szCs w:val="28"/>
        </w:rPr>
        <w:t>ur views on the issue considering the prior discussions on this issue during RAN1 #106-E and the incoming LS from RAN2</w:t>
      </w:r>
      <w:r w:rsidR="005A3044">
        <w:rPr>
          <w:sz w:val="22"/>
          <w:szCs w:val="28"/>
        </w:rPr>
        <w:t xml:space="preserve"> on L2 buffer size reduction for RedCap UEs</w:t>
      </w:r>
      <w:r w:rsidR="00DD4C52" w:rsidRPr="00DD4C52">
        <w:rPr>
          <w:sz w:val="22"/>
          <w:szCs w:val="28"/>
        </w:rPr>
        <w:t>.</w:t>
      </w:r>
    </w:p>
    <w:p w14:paraId="1DD7D731" w14:textId="2FD06B6A" w:rsidR="00D178D0" w:rsidRDefault="00C8002A" w:rsidP="00DD4C52">
      <w:pPr>
        <w:pStyle w:val="3GPPNormalText"/>
        <w:rPr>
          <w:sz w:val="22"/>
          <w:szCs w:val="28"/>
        </w:rPr>
      </w:pPr>
      <w:r>
        <w:rPr>
          <w:sz w:val="22"/>
          <w:szCs w:val="28"/>
        </w:rPr>
        <w:t>Based on the presented discussion, o</w:t>
      </w:r>
      <w:r w:rsidR="009356FC">
        <w:rPr>
          <w:sz w:val="22"/>
          <w:szCs w:val="28"/>
        </w:rPr>
        <w:t xml:space="preserve">ur views can be summarized via the following </w:t>
      </w:r>
      <w:r w:rsidR="00C9648B">
        <w:rPr>
          <w:sz w:val="22"/>
          <w:szCs w:val="28"/>
        </w:rPr>
        <w:t>observation</w:t>
      </w:r>
      <w:r w:rsidR="00DD4C52">
        <w:rPr>
          <w:sz w:val="22"/>
          <w:szCs w:val="28"/>
        </w:rPr>
        <w:t xml:space="preserve"> an</w:t>
      </w:r>
      <w:r w:rsidR="00DD4C52">
        <w:rPr>
          <w:szCs w:val="28"/>
        </w:rPr>
        <w:t xml:space="preserve">d </w:t>
      </w:r>
      <w:r w:rsidR="00DD4C52">
        <w:rPr>
          <w:sz w:val="22"/>
          <w:szCs w:val="28"/>
        </w:rPr>
        <w:t>proposal.</w:t>
      </w:r>
    </w:p>
    <w:p w14:paraId="69B59BCB" w14:textId="77777777" w:rsidR="00DD4C52" w:rsidRPr="00DD4C52" w:rsidRDefault="00DD4C52" w:rsidP="00DD4C52">
      <w:pPr>
        <w:pStyle w:val="3GPPNormalText"/>
        <w:rPr>
          <w:sz w:val="22"/>
          <w:szCs w:val="28"/>
        </w:rPr>
      </w:pPr>
    </w:p>
    <w:p w14:paraId="2186FE40" w14:textId="77777777" w:rsidR="00DD4C52" w:rsidRDefault="00DD4C52" w:rsidP="00DD4C52">
      <w:pPr>
        <w:rPr>
          <w:b/>
          <w:bCs/>
        </w:rPr>
      </w:pPr>
      <w:r>
        <w:rPr>
          <w:b/>
          <w:bCs/>
        </w:rPr>
        <w:t>Observation</w:t>
      </w:r>
      <w:r w:rsidRPr="000E3E22">
        <w:rPr>
          <w:b/>
          <w:bCs/>
        </w:rPr>
        <w:t xml:space="preserve"> </w:t>
      </w:r>
      <w:r>
        <w:rPr>
          <w:b/>
          <w:bCs/>
        </w:rPr>
        <w:t>1</w:t>
      </w:r>
      <w:r w:rsidRPr="000E3E22">
        <w:rPr>
          <w:b/>
          <w:bCs/>
        </w:rPr>
        <w:t xml:space="preserve">:  </w:t>
      </w:r>
    </w:p>
    <w:p w14:paraId="52D494EC" w14:textId="7B754DA9" w:rsidR="00DD4C52" w:rsidRDefault="00A07D5B" w:rsidP="00DD4C52">
      <w:pPr>
        <w:pStyle w:val="ListParagraph"/>
        <w:numPr>
          <w:ilvl w:val="0"/>
          <w:numId w:val="2"/>
        </w:numPr>
        <w:rPr>
          <w:i/>
          <w:iCs/>
        </w:rPr>
      </w:pPr>
      <w:r>
        <w:rPr>
          <w:i/>
          <w:iCs/>
        </w:rPr>
        <w:t xml:space="preserve">For single carrier DL/UL operation (as is relevant </w:t>
      </w:r>
      <w:r w:rsidR="007D20FE">
        <w:rPr>
          <w:i/>
          <w:iCs/>
        </w:rPr>
        <w:t>for RedCap), p</w:t>
      </w:r>
      <w:r w:rsidR="00DD4C52">
        <w:rPr>
          <w:i/>
          <w:iCs/>
        </w:rPr>
        <w:t xml:space="preserve">otential cost/complexity reduction from L2 buffer size reduction only, realized by peak rate scaling, is lower than that from limiting max TBS. </w:t>
      </w:r>
    </w:p>
    <w:p w14:paraId="4061FA00" w14:textId="2924BD0F" w:rsidR="00DD4C52" w:rsidRDefault="00DD4C52" w:rsidP="00DD4C52">
      <w:pPr>
        <w:pStyle w:val="ListParagraph"/>
        <w:numPr>
          <w:ilvl w:val="0"/>
          <w:numId w:val="2"/>
        </w:numPr>
        <w:rPr>
          <w:i/>
          <w:iCs/>
        </w:rPr>
      </w:pPr>
      <w:r>
        <w:rPr>
          <w:i/>
          <w:iCs/>
        </w:rPr>
        <w:t xml:space="preserve">During RAN1 SI on RedCap, limiting max TBS was not considered to provide benefits </w:t>
      </w:r>
      <w:r w:rsidR="00151696">
        <w:rPr>
          <w:i/>
          <w:iCs/>
        </w:rPr>
        <w:t xml:space="preserve">significant </w:t>
      </w:r>
      <w:r w:rsidR="00A07D5B">
        <w:rPr>
          <w:i/>
          <w:iCs/>
        </w:rPr>
        <w:t xml:space="preserve">enough </w:t>
      </w:r>
      <w:r>
        <w:rPr>
          <w:i/>
          <w:iCs/>
        </w:rPr>
        <w:t>to warrant its recommendation for specification as a cost/complexity reduction feature.</w:t>
      </w:r>
    </w:p>
    <w:p w14:paraId="7BB5DB56" w14:textId="78A4A9C9" w:rsidR="00DD4C52" w:rsidRDefault="00DD4C52" w:rsidP="00DD4C52">
      <w:pPr>
        <w:rPr>
          <w:i/>
          <w:iCs/>
        </w:rPr>
      </w:pPr>
    </w:p>
    <w:p w14:paraId="1A73ECE8" w14:textId="77777777" w:rsidR="00DD4C52" w:rsidRDefault="00DD4C52" w:rsidP="00DD4C52">
      <w:pPr>
        <w:rPr>
          <w:b/>
          <w:bCs/>
        </w:rPr>
      </w:pPr>
      <w:r>
        <w:rPr>
          <w:b/>
          <w:bCs/>
        </w:rPr>
        <w:t>Proposal</w:t>
      </w:r>
      <w:r w:rsidRPr="000E3E22">
        <w:rPr>
          <w:b/>
          <w:bCs/>
        </w:rPr>
        <w:t xml:space="preserve"> </w:t>
      </w:r>
      <w:r>
        <w:rPr>
          <w:b/>
          <w:bCs/>
        </w:rPr>
        <w:t>1</w:t>
      </w:r>
      <w:r w:rsidRPr="000E3E22">
        <w:rPr>
          <w:b/>
          <w:bCs/>
        </w:rPr>
        <w:t xml:space="preserve">:  </w:t>
      </w:r>
    </w:p>
    <w:p w14:paraId="6C5441B1" w14:textId="77777777" w:rsidR="00DD4C52" w:rsidRDefault="00DD4C52" w:rsidP="00DD4C52">
      <w:pPr>
        <w:pStyle w:val="ListParagraph"/>
        <w:numPr>
          <w:ilvl w:val="0"/>
          <w:numId w:val="2"/>
        </w:numPr>
        <w:rPr>
          <w:i/>
          <w:iCs/>
        </w:rPr>
      </w:pPr>
      <w:r>
        <w:rPr>
          <w:i/>
          <w:iCs/>
        </w:rPr>
        <w:t>Adopt one of the following options for handling of scaling factors for DL/UL peak rates for RedCap UEs:</w:t>
      </w:r>
    </w:p>
    <w:p w14:paraId="77691317" w14:textId="77777777" w:rsidR="00DD4C52" w:rsidRPr="002A5BA6" w:rsidRDefault="00DD4C52" w:rsidP="00DD4C52">
      <w:pPr>
        <w:pStyle w:val="ListParagraph"/>
        <w:numPr>
          <w:ilvl w:val="1"/>
          <w:numId w:val="21"/>
        </w:numPr>
        <w:rPr>
          <w:i/>
          <w:iCs/>
        </w:rPr>
      </w:pPr>
      <w:r w:rsidRPr="002A5BA6">
        <w:rPr>
          <w:b/>
          <w:bCs/>
          <w:i/>
          <w:iCs/>
        </w:rPr>
        <w:t>Opt. 1:</w:t>
      </w:r>
      <w:r w:rsidRPr="002A5BA6">
        <w:rPr>
          <w:i/>
          <w:iCs/>
        </w:rPr>
        <w:t xml:space="preserve"> Scaling factors for peak DL/UL rates with existing values {0.4, 0.75, 0.8, 1} are available to RedCap UEs, with the same constraint on the minimum value of the product </w:t>
      </w:r>
      <m:oMath>
        <m:sSubSup>
          <m:sSubSupPr>
            <m:ctrlPr>
              <w:rPr>
                <w:rFonts w:ascii="Cambria Math" w:hAnsi="Cambria Math"/>
                <w:i/>
                <w:iCs/>
                <w:lang w:val="en-GB"/>
              </w:rPr>
            </m:ctrlPr>
          </m:sSubSupPr>
          <m:e>
            <m:r>
              <w:rPr>
                <w:rFonts w:ascii="Cambria Math" w:hAnsi="Cambria Math"/>
                <w:lang w:val="en-GB"/>
              </w:rPr>
              <m:t>v</m:t>
            </m:r>
          </m:e>
          <m:sub>
            <m:r>
              <w:rPr>
                <w:rFonts w:ascii="Cambria Math" w:hAnsi="Cambria Math"/>
                <w:lang w:val="en-GB"/>
              </w:rPr>
              <m:t>Layers</m:t>
            </m:r>
          </m:sub>
          <m:sup>
            <m:r>
              <w:rPr>
                <w:rFonts w:ascii="Cambria Math" w:hAnsi="Cambria Math"/>
                <w:lang w:val="en-GB"/>
              </w:rPr>
              <m:t>(j)</m:t>
            </m:r>
          </m:sup>
        </m:sSubSup>
        <m:r>
          <w:rPr>
            <w:rFonts w:ascii="Cambria Math" w:hAnsi="Cambria Math"/>
            <w:lang w:val="en-GB"/>
          </w:rPr>
          <m:t>⋅</m:t>
        </m:r>
        <m:sSubSup>
          <m:sSubSupPr>
            <m:ctrlPr>
              <w:rPr>
                <w:rFonts w:ascii="Cambria Math" w:hAnsi="Cambria Math"/>
                <w:i/>
                <w:iCs/>
                <w:lang w:val="en-GB"/>
              </w:rPr>
            </m:ctrlPr>
          </m:sSubSupPr>
          <m:e>
            <m:r>
              <w:rPr>
                <w:rFonts w:ascii="Cambria Math" w:hAnsi="Cambria Math"/>
                <w:lang w:val="en-GB"/>
              </w:rPr>
              <m:t>Q</m:t>
            </m:r>
          </m:e>
          <m:sub>
            <m:r>
              <w:rPr>
                <w:rFonts w:ascii="Cambria Math" w:hAnsi="Cambria Math"/>
                <w:lang w:val="en-GB"/>
              </w:rPr>
              <m:t>m</m:t>
            </m:r>
          </m:sub>
          <m:sup>
            <m:d>
              <m:dPr>
                <m:ctrlPr>
                  <w:rPr>
                    <w:rFonts w:ascii="Cambria Math" w:hAnsi="Cambria Math"/>
                    <w:i/>
                    <w:iCs/>
                    <w:lang w:val="en-GB"/>
                  </w:rPr>
                </m:ctrlPr>
              </m:dPr>
              <m:e>
                <m:r>
                  <w:rPr>
                    <w:rFonts w:ascii="Cambria Math" w:hAnsi="Cambria Math"/>
                    <w:lang w:val="en-GB"/>
                  </w:rPr>
                  <m:t>j</m:t>
                </m:r>
              </m:e>
            </m:d>
          </m:sup>
        </m:sSubSup>
        <m:r>
          <w:rPr>
            <w:rFonts w:ascii="Cambria Math" w:hAnsi="Cambria Math"/>
            <w:lang w:val="en-GB"/>
          </w:rPr>
          <m:t>⋅</m:t>
        </m:r>
        <m:sSubSup>
          <m:sSubSupPr>
            <m:ctrlPr>
              <w:rPr>
                <w:rFonts w:ascii="Cambria Math" w:hAnsi="Cambria Math"/>
                <w:i/>
                <w:iCs/>
                <w:lang w:val="en-GB"/>
              </w:rPr>
            </m:ctrlPr>
          </m:sSubSupPr>
          <m:e>
            <m:r>
              <w:rPr>
                <w:rFonts w:ascii="Cambria Math" w:hAnsi="Cambria Math"/>
                <w:lang w:val="en-GB"/>
              </w:rPr>
              <m:t>f</m:t>
            </m:r>
          </m:e>
          <m:sub/>
          <m:sup>
            <m:d>
              <m:dPr>
                <m:ctrlPr>
                  <w:rPr>
                    <w:rFonts w:ascii="Cambria Math" w:hAnsi="Cambria Math"/>
                    <w:i/>
                    <w:iCs/>
                    <w:lang w:val="en-GB"/>
                  </w:rPr>
                </m:ctrlPr>
              </m:dPr>
              <m:e>
                <m:r>
                  <w:rPr>
                    <w:rFonts w:ascii="Cambria Math" w:hAnsi="Cambria Math"/>
                    <w:lang w:val="en-GB"/>
                  </w:rPr>
                  <m:t>j</m:t>
                </m:r>
              </m:e>
            </m:d>
          </m:sup>
        </m:sSubSup>
      </m:oMath>
      <w:r w:rsidRPr="002A5BA6">
        <w:rPr>
          <w:i/>
          <w:iCs/>
        </w:rPr>
        <w:t xml:space="preserve">as applicable for single carrier NR SA operation. </w:t>
      </w:r>
    </w:p>
    <w:p w14:paraId="150E59DC" w14:textId="77777777" w:rsidR="00DD4C52" w:rsidRPr="00081E11" w:rsidRDefault="00DD4C52" w:rsidP="00DD4C52">
      <w:pPr>
        <w:pStyle w:val="ListParagraph"/>
        <w:numPr>
          <w:ilvl w:val="1"/>
          <w:numId w:val="21"/>
        </w:numPr>
        <w:rPr>
          <w:i/>
          <w:iCs/>
        </w:rPr>
      </w:pPr>
      <w:r w:rsidRPr="00081E11">
        <w:rPr>
          <w:b/>
          <w:bCs/>
          <w:i/>
          <w:iCs/>
        </w:rPr>
        <w:t>Opt. 4:</w:t>
      </w:r>
      <w:r w:rsidRPr="00081E11">
        <w:rPr>
          <w:i/>
          <w:iCs/>
        </w:rPr>
        <w:t xml:space="preserve"> Scaling factors for peak DL/UL rates are NOT available to RedCap UEs.</w:t>
      </w:r>
    </w:p>
    <w:p w14:paraId="60127742" w14:textId="7E7E0F32" w:rsidR="00DD4C52" w:rsidRPr="00DD4C52" w:rsidRDefault="00DD4C52" w:rsidP="00DD4C52">
      <w:pPr>
        <w:pStyle w:val="ListParagraph"/>
        <w:numPr>
          <w:ilvl w:val="0"/>
          <w:numId w:val="2"/>
        </w:numPr>
        <w:rPr>
          <w:i/>
          <w:iCs/>
        </w:rPr>
      </w:pPr>
      <w:r>
        <w:rPr>
          <w:i/>
          <w:iCs/>
        </w:rPr>
        <w:t>Send a response LS to RAN2 conveying the RAN1 decision.</w:t>
      </w:r>
    </w:p>
    <w:p w14:paraId="4AA1B524" w14:textId="77777777" w:rsidR="00CE79A1" w:rsidRPr="007C1391" w:rsidRDefault="00CE79A1" w:rsidP="00CE79A1">
      <w:pPr>
        <w:pStyle w:val="Heading1"/>
        <w:keepLines/>
        <w:pBdr>
          <w:top w:val="single" w:sz="12" w:space="3" w:color="auto"/>
        </w:pBdr>
        <w:overflowPunct w:val="0"/>
        <w:snapToGrid/>
        <w:spacing w:before="240"/>
        <w:ind w:left="567" w:hanging="567"/>
        <w:jc w:val="left"/>
        <w:textAlignment w:val="baseline"/>
        <w:rPr>
          <w:rFonts w:ascii="Arial" w:hAnsi="Arial"/>
          <w:b w:val="0"/>
          <w:bCs w:val="0"/>
          <w:sz w:val="36"/>
          <w:szCs w:val="20"/>
        </w:rPr>
      </w:pPr>
      <w:r w:rsidRPr="007C1391">
        <w:rPr>
          <w:rFonts w:ascii="Arial" w:hAnsi="Arial"/>
          <w:b w:val="0"/>
          <w:bCs w:val="0"/>
          <w:sz w:val="36"/>
          <w:szCs w:val="20"/>
        </w:rPr>
        <w:t>References</w:t>
      </w:r>
    </w:p>
    <w:p w14:paraId="5F8CD5AC" w14:textId="28F21522" w:rsidR="00142C4D" w:rsidRDefault="00F43222" w:rsidP="004A7FC1">
      <w:pPr>
        <w:widowControl w:val="0"/>
        <w:numPr>
          <w:ilvl w:val="0"/>
          <w:numId w:val="3"/>
        </w:numPr>
        <w:overflowPunct w:val="0"/>
        <w:snapToGrid/>
      </w:pPr>
      <w:bookmarkStart w:id="3" w:name="_Ref71654122"/>
      <w:bookmarkStart w:id="4" w:name="_Ref61860193"/>
      <w:bookmarkStart w:id="5" w:name="_Ref40460641"/>
      <w:r w:rsidRPr="00F43222">
        <w:t>R1-2108524</w:t>
      </w:r>
      <w:r w:rsidR="00142C4D" w:rsidRPr="00142C4D">
        <w:t xml:space="preserve">, </w:t>
      </w:r>
      <w:r w:rsidR="00142C4D">
        <w:t>“</w:t>
      </w:r>
      <w:r w:rsidR="00A260FA" w:rsidRPr="00A260FA">
        <w:t>FL summary #2 on other aspects of UE complexity reduction for RedCap</w:t>
      </w:r>
      <w:r w:rsidR="00142C4D">
        <w:t xml:space="preserve">,” </w:t>
      </w:r>
      <w:r w:rsidR="00A260FA">
        <w:t xml:space="preserve">Moderator (Intel), </w:t>
      </w:r>
      <w:r w:rsidR="00142C4D">
        <w:t>RAN</w:t>
      </w:r>
      <w:r w:rsidR="00A260FA">
        <w:t>1</w:t>
      </w:r>
      <w:r w:rsidR="00142C4D">
        <w:t xml:space="preserve"> #</w:t>
      </w:r>
      <w:r w:rsidR="00A260FA">
        <w:t>106</w:t>
      </w:r>
      <w:r w:rsidR="00142C4D">
        <w:t>-e.</w:t>
      </w:r>
      <w:bookmarkEnd w:id="3"/>
    </w:p>
    <w:p w14:paraId="62D0E581" w14:textId="7BCE6159" w:rsidR="00B441D3" w:rsidRPr="00CF2A29" w:rsidRDefault="00773C98" w:rsidP="007D20FE">
      <w:pPr>
        <w:widowControl w:val="0"/>
        <w:numPr>
          <w:ilvl w:val="0"/>
          <w:numId w:val="3"/>
        </w:numPr>
        <w:overflowPunct w:val="0"/>
        <w:snapToGrid/>
      </w:pPr>
      <w:bookmarkStart w:id="6" w:name="_Ref79183680"/>
      <w:bookmarkStart w:id="7" w:name="_Ref61878330"/>
      <w:bookmarkEnd w:id="4"/>
      <w:r w:rsidRPr="00773C98">
        <w:t>R1-2108713</w:t>
      </w:r>
      <w:r>
        <w:t>, “</w:t>
      </w:r>
      <w:r w:rsidR="00254271" w:rsidRPr="00254271">
        <w:t>LS to RAN1 on L2 buffer size reduction</w:t>
      </w:r>
      <w:r w:rsidR="00254271">
        <w:t>,</w:t>
      </w:r>
      <w:r>
        <w:t>”</w:t>
      </w:r>
      <w:r w:rsidR="00254271">
        <w:t xml:space="preserve"> RAN WG2</w:t>
      </w:r>
      <w:r w:rsidR="00240315">
        <w:t>.</w:t>
      </w:r>
      <w:bookmarkEnd w:id="5"/>
      <w:bookmarkEnd w:id="6"/>
      <w:bookmarkEnd w:id="7"/>
    </w:p>
    <w:sectPr w:rsidR="00B441D3" w:rsidRPr="00CF2A29">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B5C956" w14:textId="77777777" w:rsidR="00A611C7" w:rsidRDefault="00A611C7" w:rsidP="004C0876">
      <w:pPr>
        <w:spacing w:after="0"/>
      </w:pPr>
      <w:r>
        <w:separator/>
      </w:r>
    </w:p>
  </w:endnote>
  <w:endnote w:type="continuationSeparator" w:id="0">
    <w:p w14:paraId="531747B1" w14:textId="77777777" w:rsidR="00A611C7" w:rsidRDefault="00A611C7" w:rsidP="004C087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Intel Clear">
    <w:panose1 w:val="020B0604020203020204"/>
    <w:charset w:val="00"/>
    <w:family w:val="swiss"/>
    <w:pitch w:val="variable"/>
    <w:sig w:usb0="E10006FF" w:usb1="400060FB" w:usb2="00000028"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9D2A55" w14:textId="77777777" w:rsidR="00DC229D" w:rsidRDefault="00DC229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927987948"/>
      <w:docPartObj>
        <w:docPartGallery w:val="Page Numbers (Bottom of Page)"/>
        <w:docPartUnique/>
      </w:docPartObj>
    </w:sdtPr>
    <w:sdtEndPr/>
    <w:sdtContent>
      <w:sdt>
        <w:sdtPr>
          <w:id w:val="1728636285"/>
          <w:docPartObj>
            <w:docPartGallery w:val="Page Numbers (Top of Page)"/>
            <w:docPartUnique/>
          </w:docPartObj>
        </w:sdtPr>
        <w:sdtEndPr/>
        <w:sdtContent>
          <w:p w14:paraId="6143124E" w14:textId="679AD1F3" w:rsidR="00FE73F0" w:rsidRDefault="00FE73F0">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7586F307" w14:textId="77777777" w:rsidR="00611C64" w:rsidRDefault="00611C6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221D3E" w14:textId="77777777" w:rsidR="00DC229D" w:rsidRDefault="00DC22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69E973" w14:textId="77777777" w:rsidR="00A611C7" w:rsidRDefault="00A611C7" w:rsidP="004C0876">
      <w:pPr>
        <w:spacing w:after="0"/>
      </w:pPr>
      <w:r>
        <w:separator/>
      </w:r>
    </w:p>
  </w:footnote>
  <w:footnote w:type="continuationSeparator" w:id="0">
    <w:p w14:paraId="084C5461" w14:textId="77777777" w:rsidR="00A611C7" w:rsidRDefault="00A611C7" w:rsidP="004C087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37CA1B" w14:textId="77777777" w:rsidR="00DC229D" w:rsidRDefault="00DC229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10452E" w14:textId="77777777" w:rsidR="00DC229D" w:rsidRDefault="00DC22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AFED11" w14:textId="77777777" w:rsidR="00DC229D" w:rsidRDefault="00DC22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EB5122"/>
    <w:multiLevelType w:val="hybridMultilevel"/>
    <w:tmpl w:val="E91EEBD8"/>
    <w:lvl w:ilvl="0" w:tplc="88303454">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51390E"/>
    <w:multiLevelType w:val="hybridMultilevel"/>
    <w:tmpl w:val="0FEEA06A"/>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1C9037C"/>
    <w:multiLevelType w:val="multilevel"/>
    <w:tmpl w:val="11C9037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1A600F6A"/>
    <w:multiLevelType w:val="hybridMultilevel"/>
    <w:tmpl w:val="1BD88D4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EB428A6"/>
    <w:multiLevelType w:val="hybridMultilevel"/>
    <w:tmpl w:val="2AB8190E"/>
    <w:lvl w:ilvl="0" w:tplc="96F6F3D2">
      <w:start w:val="5"/>
      <w:numFmt w:val="bullet"/>
      <w:lvlText w:val=""/>
      <w:lvlJc w:val="left"/>
      <w:pPr>
        <w:ind w:left="420" w:hanging="420"/>
      </w:pPr>
      <w:rPr>
        <w:rFonts w:ascii="Symbol" w:eastAsia="SimSun" w:hAnsi="Symbo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5" w15:restartNumberingAfterBreak="0">
    <w:nsid w:val="26A122FE"/>
    <w:multiLevelType w:val="hybridMultilevel"/>
    <w:tmpl w:val="4EBAAE7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 w15:restartNumberingAfterBreak="0">
    <w:nsid w:val="2F686D59"/>
    <w:multiLevelType w:val="hybridMultilevel"/>
    <w:tmpl w:val="575A698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13173E2"/>
    <w:multiLevelType w:val="hybridMultilevel"/>
    <w:tmpl w:val="DB9681E4"/>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7DCA4E60">
      <w:numFmt w:val="bullet"/>
      <w:lvlText w:val="•"/>
      <w:lvlJc w:val="left"/>
      <w:pPr>
        <w:ind w:left="3240" w:hanging="360"/>
      </w:pPr>
      <w:rPr>
        <w:rFonts w:ascii="Times New Roman" w:eastAsia="SimSun" w:hAnsi="Times New Roman" w:cs="Times New Roman"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33B557C1"/>
    <w:multiLevelType w:val="multilevel"/>
    <w:tmpl w:val="5BF4075C"/>
    <w:lvl w:ilvl="0">
      <w:start w:val="1"/>
      <w:numFmt w:val="decimal"/>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heme="minorBidi" w:hAnsiTheme="minorBidi" w:cstheme="minorBidi" w:hint="default"/>
        <w:b w:val="0"/>
        <w:i w:val="0"/>
        <w:sz w:val="28"/>
        <w:szCs w:val="36"/>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4FC174FC"/>
    <w:multiLevelType w:val="hybridMultilevel"/>
    <w:tmpl w:val="768651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5D9C0724"/>
    <w:multiLevelType w:val="hybridMultilevel"/>
    <w:tmpl w:val="2B2823C0"/>
    <w:lvl w:ilvl="0" w:tplc="041D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9F36688"/>
    <w:multiLevelType w:val="hybridMultilevel"/>
    <w:tmpl w:val="4358EA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2" w15:restartNumberingAfterBreak="0">
    <w:nsid w:val="767D5920"/>
    <w:multiLevelType w:val="hybridMultilevel"/>
    <w:tmpl w:val="C1F0BCD6"/>
    <w:lvl w:ilvl="0" w:tplc="041D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9481406"/>
    <w:multiLevelType w:val="hybridMultilevel"/>
    <w:tmpl w:val="D7127B30"/>
    <w:lvl w:ilvl="0" w:tplc="041D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9964386"/>
    <w:multiLevelType w:val="hybridMultilevel"/>
    <w:tmpl w:val="4EBA8C5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7A764571"/>
    <w:multiLevelType w:val="hybridMultilevel"/>
    <w:tmpl w:val="94169F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BAB17FC"/>
    <w:multiLevelType w:val="hybridMultilevel"/>
    <w:tmpl w:val="E22C609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7FB64EAE"/>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num w:numId="1">
    <w:abstractNumId w:val="8"/>
  </w:num>
  <w:num w:numId="2">
    <w:abstractNumId w:val="11"/>
  </w:num>
  <w:num w:numId="3">
    <w:abstractNumId w:val="17"/>
  </w:num>
  <w:num w:numId="4">
    <w:abstractNumId w:val="7"/>
  </w:num>
  <w:num w:numId="5">
    <w:abstractNumId w:val="9"/>
  </w:num>
  <w:num w:numId="6">
    <w:abstractNumId w:val="0"/>
  </w:num>
  <w:num w:numId="7">
    <w:abstractNumId w:val="14"/>
  </w:num>
  <w:num w:numId="8">
    <w:abstractNumId w:val="6"/>
  </w:num>
  <w:num w:numId="9">
    <w:abstractNumId w:val="1"/>
  </w:num>
  <w:num w:numId="10">
    <w:abstractNumId w:val="12"/>
  </w:num>
  <w:num w:numId="11">
    <w:abstractNumId w:val="10"/>
  </w:num>
  <w:num w:numId="12">
    <w:abstractNumId w:val="13"/>
  </w:num>
  <w:num w:numId="13">
    <w:abstractNumId w:val="16"/>
  </w:num>
  <w:num w:numId="14">
    <w:abstractNumId w:val="3"/>
  </w:num>
  <w:num w:numId="15">
    <w:abstractNumId w:val="4"/>
  </w:num>
  <w:num w:numId="16">
    <w:abstractNumId w:val="5"/>
  </w:num>
  <w:num w:numId="17">
    <w:abstractNumId w:val="0"/>
  </w:num>
  <w:num w:numId="18">
    <w:abstractNumId w:val="5"/>
  </w:num>
  <w:num w:numId="19">
    <w:abstractNumId w:val="4"/>
  </w:num>
  <w:num w:numId="20">
    <w:abstractNumId w:val="15"/>
  </w:num>
  <w:num w:numId="21">
    <w:abstractNumId w:val="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defaultTabStop w:val="7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0B12"/>
    <w:rsid w:val="00001154"/>
    <w:rsid w:val="000020E9"/>
    <w:rsid w:val="0000420A"/>
    <w:rsid w:val="00004603"/>
    <w:rsid w:val="00004D5D"/>
    <w:rsid w:val="000058ED"/>
    <w:rsid w:val="00005F7B"/>
    <w:rsid w:val="000107BE"/>
    <w:rsid w:val="00011D4C"/>
    <w:rsid w:val="00011D59"/>
    <w:rsid w:val="000123AD"/>
    <w:rsid w:val="000126B2"/>
    <w:rsid w:val="00012884"/>
    <w:rsid w:val="000132CD"/>
    <w:rsid w:val="0001344B"/>
    <w:rsid w:val="000140A3"/>
    <w:rsid w:val="00015391"/>
    <w:rsid w:val="00015B27"/>
    <w:rsid w:val="00016127"/>
    <w:rsid w:val="000161B0"/>
    <w:rsid w:val="000162C8"/>
    <w:rsid w:val="00020C1D"/>
    <w:rsid w:val="00021C06"/>
    <w:rsid w:val="0002393D"/>
    <w:rsid w:val="000248C2"/>
    <w:rsid w:val="00025E62"/>
    <w:rsid w:val="000264AB"/>
    <w:rsid w:val="000268F5"/>
    <w:rsid w:val="00026966"/>
    <w:rsid w:val="0003071C"/>
    <w:rsid w:val="00031D16"/>
    <w:rsid w:val="00031EE5"/>
    <w:rsid w:val="000336F4"/>
    <w:rsid w:val="00033B5F"/>
    <w:rsid w:val="000341C1"/>
    <w:rsid w:val="000346AB"/>
    <w:rsid w:val="000368EC"/>
    <w:rsid w:val="00036E6A"/>
    <w:rsid w:val="000422D2"/>
    <w:rsid w:val="0004339C"/>
    <w:rsid w:val="0004518F"/>
    <w:rsid w:val="000478EB"/>
    <w:rsid w:val="0005089C"/>
    <w:rsid w:val="000519E2"/>
    <w:rsid w:val="000546FE"/>
    <w:rsid w:val="00055176"/>
    <w:rsid w:val="00056843"/>
    <w:rsid w:val="00057A3B"/>
    <w:rsid w:val="00060BC7"/>
    <w:rsid w:val="00066263"/>
    <w:rsid w:val="00066338"/>
    <w:rsid w:val="00067254"/>
    <w:rsid w:val="00070CD1"/>
    <w:rsid w:val="00071485"/>
    <w:rsid w:val="00071BAC"/>
    <w:rsid w:val="0007221F"/>
    <w:rsid w:val="00073439"/>
    <w:rsid w:val="00074ADB"/>
    <w:rsid w:val="000758D2"/>
    <w:rsid w:val="00077CC0"/>
    <w:rsid w:val="000806DE"/>
    <w:rsid w:val="000810C2"/>
    <w:rsid w:val="00081E11"/>
    <w:rsid w:val="00083593"/>
    <w:rsid w:val="000842F5"/>
    <w:rsid w:val="0008537E"/>
    <w:rsid w:val="00093F5B"/>
    <w:rsid w:val="00094148"/>
    <w:rsid w:val="0009490D"/>
    <w:rsid w:val="00095033"/>
    <w:rsid w:val="0009546B"/>
    <w:rsid w:val="000969AE"/>
    <w:rsid w:val="00096EC1"/>
    <w:rsid w:val="000972C8"/>
    <w:rsid w:val="000978FB"/>
    <w:rsid w:val="000A03F9"/>
    <w:rsid w:val="000A1390"/>
    <w:rsid w:val="000A13B4"/>
    <w:rsid w:val="000A2F7F"/>
    <w:rsid w:val="000A2FE7"/>
    <w:rsid w:val="000A34D3"/>
    <w:rsid w:val="000A353B"/>
    <w:rsid w:val="000A4D13"/>
    <w:rsid w:val="000A5976"/>
    <w:rsid w:val="000A7E44"/>
    <w:rsid w:val="000B01A0"/>
    <w:rsid w:val="000B23B6"/>
    <w:rsid w:val="000B3706"/>
    <w:rsid w:val="000B4138"/>
    <w:rsid w:val="000B4FA2"/>
    <w:rsid w:val="000B507F"/>
    <w:rsid w:val="000C0A12"/>
    <w:rsid w:val="000C0ADD"/>
    <w:rsid w:val="000C17DD"/>
    <w:rsid w:val="000C45B5"/>
    <w:rsid w:val="000C484A"/>
    <w:rsid w:val="000C4CF7"/>
    <w:rsid w:val="000C544E"/>
    <w:rsid w:val="000C5541"/>
    <w:rsid w:val="000C71C2"/>
    <w:rsid w:val="000D0C2C"/>
    <w:rsid w:val="000D1DBA"/>
    <w:rsid w:val="000D261B"/>
    <w:rsid w:val="000D3E51"/>
    <w:rsid w:val="000D504F"/>
    <w:rsid w:val="000D6144"/>
    <w:rsid w:val="000E007E"/>
    <w:rsid w:val="000E2F66"/>
    <w:rsid w:val="000E3AFE"/>
    <w:rsid w:val="000E3E22"/>
    <w:rsid w:val="000E453D"/>
    <w:rsid w:val="000E4CF3"/>
    <w:rsid w:val="000E4FA8"/>
    <w:rsid w:val="000E539A"/>
    <w:rsid w:val="000E5F47"/>
    <w:rsid w:val="000E6708"/>
    <w:rsid w:val="000E7322"/>
    <w:rsid w:val="000E78BA"/>
    <w:rsid w:val="000F01A6"/>
    <w:rsid w:val="000F0CB9"/>
    <w:rsid w:val="000F1E6E"/>
    <w:rsid w:val="000F33C3"/>
    <w:rsid w:val="000F3F71"/>
    <w:rsid w:val="000F54B2"/>
    <w:rsid w:val="000F5C68"/>
    <w:rsid w:val="000F6703"/>
    <w:rsid w:val="000F7B1B"/>
    <w:rsid w:val="000F7D6D"/>
    <w:rsid w:val="0010108F"/>
    <w:rsid w:val="00101523"/>
    <w:rsid w:val="0010210F"/>
    <w:rsid w:val="001033FE"/>
    <w:rsid w:val="00104598"/>
    <w:rsid w:val="00104FD7"/>
    <w:rsid w:val="00105B85"/>
    <w:rsid w:val="00105D40"/>
    <w:rsid w:val="00105E22"/>
    <w:rsid w:val="00107AB7"/>
    <w:rsid w:val="00107B7C"/>
    <w:rsid w:val="0011528F"/>
    <w:rsid w:val="00115FDB"/>
    <w:rsid w:val="00116339"/>
    <w:rsid w:val="00117014"/>
    <w:rsid w:val="00117834"/>
    <w:rsid w:val="001179B7"/>
    <w:rsid w:val="00122885"/>
    <w:rsid w:val="001228AD"/>
    <w:rsid w:val="00122E13"/>
    <w:rsid w:val="00124713"/>
    <w:rsid w:val="001257F7"/>
    <w:rsid w:val="00125A40"/>
    <w:rsid w:val="00126B77"/>
    <w:rsid w:val="00130151"/>
    <w:rsid w:val="00131566"/>
    <w:rsid w:val="001316EB"/>
    <w:rsid w:val="00132CEA"/>
    <w:rsid w:val="00133BF3"/>
    <w:rsid w:val="001341DE"/>
    <w:rsid w:val="00134601"/>
    <w:rsid w:val="00136B68"/>
    <w:rsid w:val="00140471"/>
    <w:rsid w:val="0014156D"/>
    <w:rsid w:val="00142C4D"/>
    <w:rsid w:val="00143AA5"/>
    <w:rsid w:val="001459DF"/>
    <w:rsid w:val="001508BE"/>
    <w:rsid w:val="001508E3"/>
    <w:rsid w:val="00151696"/>
    <w:rsid w:val="001524AF"/>
    <w:rsid w:val="00152BCF"/>
    <w:rsid w:val="00152DB1"/>
    <w:rsid w:val="001533F3"/>
    <w:rsid w:val="001539A0"/>
    <w:rsid w:val="00154219"/>
    <w:rsid w:val="00154543"/>
    <w:rsid w:val="00155115"/>
    <w:rsid w:val="00155157"/>
    <w:rsid w:val="001567AA"/>
    <w:rsid w:val="0015717C"/>
    <w:rsid w:val="00157961"/>
    <w:rsid w:val="001608D8"/>
    <w:rsid w:val="00164AEB"/>
    <w:rsid w:val="00165495"/>
    <w:rsid w:val="00166E1E"/>
    <w:rsid w:val="00167110"/>
    <w:rsid w:val="00170850"/>
    <w:rsid w:val="001719B6"/>
    <w:rsid w:val="001756CC"/>
    <w:rsid w:val="001761A1"/>
    <w:rsid w:val="00176BA2"/>
    <w:rsid w:val="0017724D"/>
    <w:rsid w:val="00183AD9"/>
    <w:rsid w:val="00183D53"/>
    <w:rsid w:val="00183D99"/>
    <w:rsid w:val="00185C61"/>
    <w:rsid w:val="00186C7F"/>
    <w:rsid w:val="00186F19"/>
    <w:rsid w:val="00187339"/>
    <w:rsid w:val="00191DD9"/>
    <w:rsid w:val="00192AFC"/>
    <w:rsid w:val="00193D4C"/>
    <w:rsid w:val="00195805"/>
    <w:rsid w:val="001968A1"/>
    <w:rsid w:val="00197009"/>
    <w:rsid w:val="0019713C"/>
    <w:rsid w:val="001972D1"/>
    <w:rsid w:val="001A0451"/>
    <w:rsid w:val="001A089E"/>
    <w:rsid w:val="001A2BEC"/>
    <w:rsid w:val="001A2F6C"/>
    <w:rsid w:val="001A40FE"/>
    <w:rsid w:val="001A4DE7"/>
    <w:rsid w:val="001A52DB"/>
    <w:rsid w:val="001A54C1"/>
    <w:rsid w:val="001A584E"/>
    <w:rsid w:val="001A7CD0"/>
    <w:rsid w:val="001B0A55"/>
    <w:rsid w:val="001B0CAC"/>
    <w:rsid w:val="001B117D"/>
    <w:rsid w:val="001B2246"/>
    <w:rsid w:val="001B6257"/>
    <w:rsid w:val="001C0C19"/>
    <w:rsid w:val="001C0EEB"/>
    <w:rsid w:val="001C1DB4"/>
    <w:rsid w:val="001C2991"/>
    <w:rsid w:val="001C3727"/>
    <w:rsid w:val="001C45D3"/>
    <w:rsid w:val="001C4F2F"/>
    <w:rsid w:val="001C4F95"/>
    <w:rsid w:val="001D08D5"/>
    <w:rsid w:val="001D0A90"/>
    <w:rsid w:val="001D0D21"/>
    <w:rsid w:val="001D4654"/>
    <w:rsid w:val="001D4BE1"/>
    <w:rsid w:val="001D597B"/>
    <w:rsid w:val="001D77CC"/>
    <w:rsid w:val="001E06A4"/>
    <w:rsid w:val="001E08B1"/>
    <w:rsid w:val="001E1A92"/>
    <w:rsid w:val="001E1D21"/>
    <w:rsid w:val="001E2DC5"/>
    <w:rsid w:val="001E3135"/>
    <w:rsid w:val="001E5720"/>
    <w:rsid w:val="001E69D1"/>
    <w:rsid w:val="001E7341"/>
    <w:rsid w:val="001E73E4"/>
    <w:rsid w:val="001E7B44"/>
    <w:rsid w:val="001E7B74"/>
    <w:rsid w:val="001E7C81"/>
    <w:rsid w:val="001F00BB"/>
    <w:rsid w:val="001F1201"/>
    <w:rsid w:val="001F2E85"/>
    <w:rsid w:val="001F3C61"/>
    <w:rsid w:val="001F3D96"/>
    <w:rsid w:val="001F46C4"/>
    <w:rsid w:val="001F51E5"/>
    <w:rsid w:val="001F64A9"/>
    <w:rsid w:val="001F65A5"/>
    <w:rsid w:val="001F6B7F"/>
    <w:rsid w:val="001F7087"/>
    <w:rsid w:val="00200F8F"/>
    <w:rsid w:val="002018B8"/>
    <w:rsid w:val="00201E86"/>
    <w:rsid w:val="00202958"/>
    <w:rsid w:val="00202B61"/>
    <w:rsid w:val="00203100"/>
    <w:rsid w:val="002053D9"/>
    <w:rsid w:val="00205E91"/>
    <w:rsid w:val="002068D1"/>
    <w:rsid w:val="00207323"/>
    <w:rsid w:val="0020747E"/>
    <w:rsid w:val="00207D91"/>
    <w:rsid w:val="00211B66"/>
    <w:rsid w:val="00211D62"/>
    <w:rsid w:val="00212CC6"/>
    <w:rsid w:val="002137B3"/>
    <w:rsid w:val="00215DF8"/>
    <w:rsid w:val="0021700D"/>
    <w:rsid w:val="00217B5F"/>
    <w:rsid w:val="002212B8"/>
    <w:rsid w:val="0022186C"/>
    <w:rsid w:val="00222372"/>
    <w:rsid w:val="00222A70"/>
    <w:rsid w:val="002234A7"/>
    <w:rsid w:val="002237A3"/>
    <w:rsid w:val="002237E6"/>
    <w:rsid w:val="00223911"/>
    <w:rsid w:val="00224209"/>
    <w:rsid w:val="00230496"/>
    <w:rsid w:val="002319DA"/>
    <w:rsid w:val="00232853"/>
    <w:rsid w:val="00232CAC"/>
    <w:rsid w:val="0023365D"/>
    <w:rsid w:val="002336C0"/>
    <w:rsid w:val="002347E5"/>
    <w:rsid w:val="00234EB8"/>
    <w:rsid w:val="002376E3"/>
    <w:rsid w:val="00240004"/>
    <w:rsid w:val="00240315"/>
    <w:rsid w:val="00240779"/>
    <w:rsid w:val="00240A24"/>
    <w:rsid w:val="00241CB7"/>
    <w:rsid w:val="002470AB"/>
    <w:rsid w:val="0024716A"/>
    <w:rsid w:val="002500FC"/>
    <w:rsid w:val="00251181"/>
    <w:rsid w:val="002518AC"/>
    <w:rsid w:val="00254271"/>
    <w:rsid w:val="002547C6"/>
    <w:rsid w:val="00254915"/>
    <w:rsid w:val="002555EA"/>
    <w:rsid w:val="00256322"/>
    <w:rsid w:val="00256333"/>
    <w:rsid w:val="00257091"/>
    <w:rsid w:val="002570CB"/>
    <w:rsid w:val="002579A4"/>
    <w:rsid w:val="002605A8"/>
    <w:rsid w:val="002620C5"/>
    <w:rsid w:val="0026234E"/>
    <w:rsid w:val="0026628E"/>
    <w:rsid w:val="002703CA"/>
    <w:rsid w:val="0027127B"/>
    <w:rsid w:val="0027138F"/>
    <w:rsid w:val="00272135"/>
    <w:rsid w:val="00273359"/>
    <w:rsid w:val="00274972"/>
    <w:rsid w:val="002759A2"/>
    <w:rsid w:val="002815BC"/>
    <w:rsid w:val="00283651"/>
    <w:rsid w:val="00283CE6"/>
    <w:rsid w:val="00283F31"/>
    <w:rsid w:val="00284D0A"/>
    <w:rsid w:val="00285465"/>
    <w:rsid w:val="00285D81"/>
    <w:rsid w:val="00287127"/>
    <w:rsid w:val="0028713D"/>
    <w:rsid w:val="002903F0"/>
    <w:rsid w:val="002904B8"/>
    <w:rsid w:val="002912A4"/>
    <w:rsid w:val="002940DE"/>
    <w:rsid w:val="002941D2"/>
    <w:rsid w:val="00294D50"/>
    <w:rsid w:val="00294EC7"/>
    <w:rsid w:val="00295114"/>
    <w:rsid w:val="00295687"/>
    <w:rsid w:val="00295E1C"/>
    <w:rsid w:val="00296846"/>
    <w:rsid w:val="002A094B"/>
    <w:rsid w:val="002A288F"/>
    <w:rsid w:val="002A4C8D"/>
    <w:rsid w:val="002A4D2B"/>
    <w:rsid w:val="002A5BA6"/>
    <w:rsid w:val="002A5D6A"/>
    <w:rsid w:val="002A6DF1"/>
    <w:rsid w:val="002A6E15"/>
    <w:rsid w:val="002B0B35"/>
    <w:rsid w:val="002B254D"/>
    <w:rsid w:val="002B33EA"/>
    <w:rsid w:val="002B4397"/>
    <w:rsid w:val="002B565D"/>
    <w:rsid w:val="002B5711"/>
    <w:rsid w:val="002B5780"/>
    <w:rsid w:val="002B6308"/>
    <w:rsid w:val="002B647B"/>
    <w:rsid w:val="002B7E5F"/>
    <w:rsid w:val="002C0FF0"/>
    <w:rsid w:val="002C2585"/>
    <w:rsid w:val="002C2CCF"/>
    <w:rsid w:val="002C2F53"/>
    <w:rsid w:val="002C3BEF"/>
    <w:rsid w:val="002C4ED3"/>
    <w:rsid w:val="002C5B81"/>
    <w:rsid w:val="002C6EE3"/>
    <w:rsid w:val="002C77D0"/>
    <w:rsid w:val="002D0444"/>
    <w:rsid w:val="002D0EAB"/>
    <w:rsid w:val="002D1279"/>
    <w:rsid w:val="002D1F61"/>
    <w:rsid w:val="002D39F9"/>
    <w:rsid w:val="002D47AD"/>
    <w:rsid w:val="002D5053"/>
    <w:rsid w:val="002D6854"/>
    <w:rsid w:val="002E0202"/>
    <w:rsid w:val="002E07D0"/>
    <w:rsid w:val="002E0D71"/>
    <w:rsid w:val="002E1C44"/>
    <w:rsid w:val="002E2AE5"/>
    <w:rsid w:val="002E2D4D"/>
    <w:rsid w:val="002E3491"/>
    <w:rsid w:val="002E54D3"/>
    <w:rsid w:val="002E5B51"/>
    <w:rsid w:val="002E5F18"/>
    <w:rsid w:val="002E6500"/>
    <w:rsid w:val="002E6651"/>
    <w:rsid w:val="002E6D80"/>
    <w:rsid w:val="002F0669"/>
    <w:rsid w:val="002F17FA"/>
    <w:rsid w:val="002F3829"/>
    <w:rsid w:val="002F59C6"/>
    <w:rsid w:val="002F67F9"/>
    <w:rsid w:val="002F72EF"/>
    <w:rsid w:val="003013AD"/>
    <w:rsid w:val="00302709"/>
    <w:rsid w:val="00303494"/>
    <w:rsid w:val="003039E9"/>
    <w:rsid w:val="00306524"/>
    <w:rsid w:val="00311618"/>
    <w:rsid w:val="0031191B"/>
    <w:rsid w:val="00312945"/>
    <w:rsid w:val="003138D8"/>
    <w:rsid w:val="00314772"/>
    <w:rsid w:val="00314D90"/>
    <w:rsid w:val="00315D8B"/>
    <w:rsid w:val="003161AB"/>
    <w:rsid w:val="00316FE4"/>
    <w:rsid w:val="00317C62"/>
    <w:rsid w:val="0032021A"/>
    <w:rsid w:val="003206D9"/>
    <w:rsid w:val="00324F04"/>
    <w:rsid w:val="00325424"/>
    <w:rsid w:val="00325D35"/>
    <w:rsid w:val="00326529"/>
    <w:rsid w:val="0032667D"/>
    <w:rsid w:val="003273DB"/>
    <w:rsid w:val="0032758F"/>
    <w:rsid w:val="00327E8D"/>
    <w:rsid w:val="00332C53"/>
    <w:rsid w:val="00332DAB"/>
    <w:rsid w:val="003343C7"/>
    <w:rsid w:val="0033579C"/>
    <w:rsid w:val="003401B2"/>
    <w:rsid w:val="00341D78"/>
    <w:rsid w:val="00341D80"/>
    <w:rsid w:val="00343084"/>
    <w:rsid w:val="003442DE"/>
    <w:rsid w:val="00344AB1"/>
    <w:rsid w:val="00351034"/>
    <w:rsid w:val="00351238"/>
    <w:rsid w:val="00351B20"/>
    <w:rsid w:val="003526DF"/>
    <w:rsid w:val="003527B3"/>
    <w:rsid w:val="0035470C"/>
    <w:rsid w:val="003557D5"/>
    <w:rsid w:val="00355AA3"/>
    <w:rsid w:val="003565BA"/>
    <w:rsid w:val="0035737D"/>
    <w:rsid w:val="00360291"/>
    <w:rsid w:val="00360AC9"/>
    <w:rsid w:val="00360D81"/>
    <w:rsid w:val="00361449"/>
    <w:rsid w:val="003617AC"/>
    <w:rsid w:val="00363631"/>
    <w:rsid w:val="003636FA"/>
    <w:rsid w:val="0036489E"/>
    <w:rsid w:val="00365284"/>
    <w:rsid w:val="00367943"/>
    <w:rsid w:val="003714E6"/>
    <w:rsid w:val="00371C33"/>
    <w:rsid w:val="00371CD2"/>
    <w:rsid w:val="0037270E"/>
    <w:rsid w:val="00372D1B"/>
    <w:rsid w:val="00373064"/>
    <w:rsid w:val="003757A1"/>
    <w:rsid w:val="00376724"/>
    <w:rsid w:val="00380B12"/>
    <w:rsid w:val="00381DE8"/>
    <w:rsid w:val="00382306"/>
    <w:rsid w:val="00383C9D"/>
    <w:rsid w:val="00384478"/>
    <w:rsid w:val="00386C31"/>
    <w:rsid w:val="00386E2D"/>
    <w:rsid w:val="003877E5"/>
    <w:rsid w:val="0039171C"/>
    <w:rsid w:val="00393231"/>
    <w:rsid w:val="00393612"/>
    <w:rsid w:val="00393CAD"/>
    <w:rsid w:val="003940A3"/>
    <w:rsid w:val="00394395"/>
    <w:rsid w:val="00395618"/>
    <w:rsid w:val="003960B6"/>
    <w:rsid w:val="003A125F"/>
    <w:rsid w:val="003A15AB"/>
    <w:rsid w:val="003A6E08"/>
    <w:rsid w:val="003A752A"/>
    <w:rsid w:val="003B1EF4"/>
    <w:rsid w:val="003B27D8"/>
    <w:rsid w:val="003B3843"/>
    <w:rsid w:val="003B4A93"/>
    <w:rsid w:val="003B66AD"/>
    <w:rsid w:val="003B789C"/>
    <w:rsid w:val="003B7FC3"/>
    <w:rsid w:val="003C0107"/>
    <w:rsid w:val="003C3888"/>
    <w:rsid w:val="003C3F44"/>
    <w:rsid w:val="003C4470"/>
    <w:rsid w:val="003C64C0"/>
    <w:rsid w:val="003C7404"/>
    <w:rsid w:val="003D1F41"/>
    <w:rsid w:val="003D5061"/>
    <w:rsid w:val="003D6804"/>
    <w:rsid w:val="003D6C20"/>
    <w:rsid w:val="003D70B8"/>
    <w:rsid w:val="003E1D14"/>
    <w:rsid w:val="003E3B7B"/>
    <w:rsid w:val="003E5B4A"/>
    <w:rsid w:val="003E5E6C"/>
    <w:rsid w:val="003E64FE"/>
    <w:rsid w:val="003E6D49"/>
    <w:rsid w:val="003F0094"/>
    <w:rsid w:val="003F1C83"/>
    <w:rsid w:val="003F2C80"/>
    <w:rsid w:val="003F342A"/>
    <w:rsid w:val="003F3E90"/>
    <w:rsid w:val="003F4458"/>
    <w:rsid w:val="003F5380"/>
    <w:rsid w:val="003F6055"/>
    <w:rsid w:val="003F61F4"/>
    <w:rsid w:val="003F718B"/>
    <w:rsid w:val="003F7A2E"/>
    <w:rsid w:val="00400F3F"/>
    <w:rsid w:val="00400F4B"/>
    <w:rsid w:val="00400F6B"/>
    <w:rsid w:val="00402278"/>
    <w:rsid w:val="004033AC"/>
    <w:rsid w:val="00403808"/>
    <w:rsid w:val="00403F4B"/>
    <w:rsid w:val="00405B58"/>
    <w:rsid w:val="00406BA1"/>
    <w:rsid w:val="00407349"/>
    <w:rsid w:val="00411A32"/>
    <w:rsid w:val="004121AB"/>
    <w:rsid w:val="00415016"/>
    <w:rsid w:val="004152DB"/>
    <w:rsid w:val="00416430"/>
    <w:rsid w:val="004166C7"/>
    <w:rsid w:val="00416B3A"/>
    <w:rsid w:val="00420B27"/>
    <w:rsid w:val="00421B53"/>
    <w:rsid w:val="00421CD3"/>
    <w:rsid w:val="00422213"/>
    <w:rsid w:val="004225F4"/>
    <w:rsid w:val="00423D57"/>
    <w:rsid w:val="00424309"/>
    <w:rsid w:val="00425063"/>
    <w:rsid w:val="0042583C"/>
    <w:rsid w:val="00425AF1"/>
    <w:rsid w:val="00426B9F"/>
    <w:rsid w:val="004275AA"/>
    <w:rsid w:val="00431409"/>
    <w:rsid w:val="004316B6"/>
    <w:rsid w:val="00432742"/>
    <w:rsid w:val="00436A72"/>
    <w:rsid w:val="00441862"/>
    <w:rsid w:val="00444E7B"/>
    <w:rsid w:val="00446A9A"/>
    <w:rsid w:val="00450658"/>
    <w:rsid w:val="00451E8B"/>
    <w:rsid w:val="00452FF4"/>
    <w:rsid w:val="004539CF"/>
    <w:rsid w:val="00453AE2"/>
    <w:rsid w:val="00453B30"/>
    <w:rsid w:val="004540FD"/>
    <w:rsid w:val="00455A38"/>
    <w:rsid w:val="00456445"/>
    <w:rsid w:val="004566E6"/>
    <w:rsid w:val="00456D82"/>
    <w:rsid w:val="00457B09"/>
    <w:rsid w:val="0046258E"/>
    <w:rsid w:val="004632FC"/>
    <w:rsid w:val="00463B2F"/>
    <w:rsid w:val="0046448D"/>
    <w:rsid w:val="00464B14"/>
    <w:rsid w:val="0046624D"/>
    <w:rsid w:val="00467639"/>
    <w:rsid w:val="0047232A"/>
    <w:rsid w:val="0047242D"/>
    <w:rsid w:val="0047289B"/>
    <w:rsid w:val="00472A5C"/>
    <w:rsid w:val="004730A8"/>
    <w:rsid w:val="00473268"/>
    <w:rsid w:val="00473358"/>
    <w:rsid w:val="00473716"/>
    <w:rsid w:val="00473943"/>
    <w:rsid w:val="00473B72"/>
    <w:rsid w:val="00474429"/>
    <w:rsid w:val="00476A85"/>
    <w:rsid w:val="00477429"/>
    <w:rsid w:val="004776C6"/>
    <w:rsid w:val="0047795E"/>
    <w:rsid w:val="00477AFC"/>
    <w:rsid w:val="004806E4"/>
    <w:rsid w:val="00481CA9"/>
    <w:rsid w:val="0048233C"/>
    <w:rsid w:val="004829D5"/>
    <w:rsid w:val="00483005"/>
    <w:rsid w:val="00483DE4"/>
    <w:rsid w:val="00484350"/>
    <w:rsid w:val="0048613C"/>
    <w:rsid w:val="00486F84"/>
    <w:rsid w:val="004872BB"/>
    <w:rsid w:val="0049086E"/>
    <w:rsid w:val="00491BE1"/>
    <w:rsid w:val="00491ECD"/>
    <w:rsid w:val="00496E1E"/>
    <w:rsid w:val="004A29B4"/>
    <w:rsid w:val="004A3353"/>
    <w:rsid w:val="004A56F2"/>
    <w:rsid w:val="004A5B78"/>
    <w:rsid w:val="004A66C5"/>
    <w:rsid w:val="004A698C"/>
    <w:rsid w:val="004A7A88"/>
    <w:rsid w:val="004A7FC1"/>
    <w:rsid w:val="004B1692"/>
    <w:rsid w:val="004B1F65"/>
    <w:rsid w:val="004B2B34"/>
    <w:rsid w:val="004B31EF"/>
    <w:rsid w:val="004B56FF"/>
    <w:rsid w:val="004B58F6"/>
    <w:rsid w:val="004B600A"/>
    <w:rsid w:val="004B6A27"/>
    <w:rsid w:val="004B7ED3"/>
    <w:rsid w:val="004C03AA"/>
    <w:rsid w:val="004C0876"/>
    <w:rsid w:val="004C0EA1"/>
    <w:rsid w:val="004C373B"/>
    <w:rsid w:val="004C51B4"/>
    <w:rsid w:val="004C5AB1"/>
    <w:rsid w:val="004D03D5"/>
    <w:rsid w:val="004D08B1"/>
    <w:rsid w:val="004D15DC"/>
    <w:rsid w:val="004D1660"/>
    <w:rsid w:val="004D26CA"/>
    <w:rsid w:val="004D4350"/>
    <w:rsid w:val="004D4B46"/>
    <w:rsid w:val="004D4EC9"/>
    <w:rsid w:val="004D5153"/>
    <w:rsid w:val="004D5C15"/>
    <w:rsid w:val="004D62E2"/>
    <w:rsid w:val="004D6782"/>
    <w:rsid w:val="004D70C9"/>
    <w:rsid w:val="004E06A6"/>
    <w:rsid w:val="004E06F4"/>
    <w:rsid w:val="004E186A"/>
    <w:rsid w:val="004E1E40"/>
    <w:rsid w:val="004E25E8"/>
    <w:rsid w:val="004E3E1B"/>
    <w:rsid w:val="004E3FFA"/>
    <w:rsid w:val="004E411E"/>
    <w:rsid w:val="004E5562"/>
    <w:rsid w:val="004E628C"/>
    <w:rsid w:val="004E67E2"/>
    <w:rsid w:val="004E75BE"/>
    <w:rsid w:val="004E785E"/>
    <w:rsid w:val="004E7B98"/>
    <w:rsid w:val="004F072F"/>
    <w:rsid w:val="004F42D4"/>
    <w:rsid w:val="005012D8"/>
    <w:rsid w:val="00501757"/>
    <w:rsid w:val="0050245D"/>
    <w:rsid w:val="0050324C"/>
    <w:rsid w:val="00504D35"/>
    <w:rsid w:val="005057DB"/>
    <w:rsid w:val="0050584C"/>
    <w:rsid w:val="00505855"/>
    <w:rsid w:val="00505BA7"/>
    <w:rsid w:val="005069D7"/>
    <w:rsid w:val="005078CF"/>
    <w:rsid w:val="00507C2D"/>
    <w:rsid w:val="00511B87"/>
    <w:rsid w:val="00513CB6"/>
    <w:rsid w:val="0051481E"/>
    <w:rsid w:val="00515F30"/>
    <w:rsid w:val="00516A9D"/>
    <w:rsid w:val="00520EE0"/>
    <w:rsid w:val="00520F29"/>
    <w:rsid w:val="00522118"/>
    <w:rsid w:val="00522931"/>
    <w:rsid w:val="00526069"/>
    <w:rsid w:val="00526711"/>
    <w:rsid w:val="005274EA"/>
    <w:rsid w:val="00527A5F"/>
    <w:rsid w:val="00527DB8"/>
    <w:rsid w:val="005307D2"/>
    <w:rsid w:val="00531E61"/>
    <w:rsid w:val="00532625"/>
    <w:rsid w:val="0053306F"/>
    <w:rsid w:val="0053516D"/>
    <w:rsid w:val="005357B3"/>
    <w:rsid w:val="005366F4"/>
    <w:rsid w:val="00536923"/>
    <w:rsid w:val="00537269"/>
    <w:rsid w:val="00541492"/>
    <w:rsid w:val="00542C3E"/>
    <w:rsid w:val="005432FA"/>
    <w:rsid w:val="00545D32"/>
    <w:rsid w:val="0054670D"/>
    <w:rsid w:val="005474C2"/>
    <w:rsid w:val="005517DE"/>
    <w:rsid w:val="0055261D"/>
    <w:rsid w:val="00553025"/>
    <w:rsid w:val="0055356A"/>
    <w:rsid w:val="0055423B"/>
    <w:rsid w:val="0055517A"/>
    <w:rsid w:val="005555AB"/>
    <w:rsid w:val="00556E47"/>
    <w:rsid w:val="00556F18"/>
    <w:rsid w:val="005602D4"/>
    <w:rsid w:val="0056066F"/>
    <w:rsid w:val="00560F89"/>
    <w:rsid w:val="0056158E"/>
    <w:rsid w:val="005623AD"/>
    <w:rsid w:val="00563AE3"/>
    <w:rsid w:val="005663B3"/>
    <w:rsid w:val="00566E19"/>
    <w:rsid w:val="005676A9"/>
    <w:rsid w:val="00567A07"/>
    <w:rsid w:val="00570C00"/>
    <w:rsid w:val="00571085"/>
    <w:rsid w:val="00571EF8"/>
    <w:rsid w:val="00572A88"/>
    <w:rsid w:val="00574601"/>
    <w:rsid w:val="00575FF3"/>
    <w:rsid w:val="00576317"/>
    <w:rsid w:val="00576B87"/>
    <w:rsid w:val="00577292"/>
    <w:rsid w:val="00580364"/>
    <w:rsid w:val="00582863"/>
    <w:rsid w:val="0058362E"/>
    <w:rsid w:val="00583ABA"/>
    <w:rsid w:val="00584507"/>
    <w:rsid w:val="00584645"/>
    <w:rsid w:val="00585826"/>
    <w:rsid w:val="00587799"/>
    <w:rsid w:val="00587979"/>
    <w:rsid w:val="00590AC1"/>
    <w:rsid w:val="0059296E"/>
    <w:rsid w:val="0059316E"/>
    <w:rsid w:val="00593743"/>
    <w:rsid w:val="00593F41"/>
    <w:rsid w:val="0059616A"/>
    <w:rsid w:val="00596A20"/>
    <w:rsid w:val="005977D0"/>
    <w:rsid w:val="005979EE"/>
    <w:rsid w:val="00597E69"/>
    <w:rsid w:val="005A028C"/>
    <w:rsid w:val="005A0FD2"/>
    <w:rsid w:val="005A15C9"/>
    <w:rsid w:val="005A16C6"/>
    <w:rsid w:val="005A18C6"/>
    <w:rsid w:val="005A23D7"/>
    <w:rsid w:val="005A2599"/>
    <w:rsid w:val="005A2BB0"/>
    <w:rsid w:val="005A2BCF"/>
    <w:rsid w:val="005A2C11"/>
    <w:rsid w:val="005A3044"/>
    <w:rsid w:val="005A4217"/>
    <w:rsid w:val="005A573E"/>
    <w:rsid w:val="005A797A"/>
    <w:rsid w:val="005B13D8"/>
    <w:rsid w:val="005B18BB"/>
    <w:rsid w:val="005B258D"/>
    <w:rsid w:val="005B295B"/>
    <w:rsid w:val="005B3671"/>
    <w:rsid w:val="005B3D3B"/>
    <w:rsid w:val="005B56C3"/>
    <w:rsid w:val="005B5D1C"/>
    <w:rsid w:val="005B78F4"/>
    <w:rsid w:val="005C0AAD"/>
    <w:rsid w:val="005C0AEE"/>
    <w:rsid w:val="005C1B3F"/>
    <w:rsid w:val="005C2450"/>
    <w:rsid w:val="005C2E83"/>
    <w:rsid w:val="005C3365"/>
    <w:rsid w:val="005C47CE"/>
    <w:rsid w:val="005C74BE"/>
    <w:rsid w:val="005D05A8"/>
    <w:rsid w:val="005D28A7"/>
    <w:rsid w:val="005D2A31"/>
    <w:rsid w:val="005D317F"/>
    <w:rsid w:val="005D3D0A"/>
    <w:rsid w:val="005D6105"/>
    <w:rsid w:val="005E02C3"/>
    <w:rsid w:val="005E04C0"/>
    <w:rsid w:val="005E11B7"/>
    <w:rsid w:val="005E150E"/>
    <w:rsid w:val="005E3AFB"/>
    <w:rsid w:val="005E61A6"/>
    <w:rsid w:val="005E6FA9"/>
    <w:rsid w:val="005E75D1"/>
    <w:rsid w:val="005F1597"/>
    <w:rsid w:val="005F3AF5"/>
    <w:rsid w:val="005F402D"/>
    <w:rsid w:val="005F54E8"/>
    <w:rsid w:val="005F5859"/>
    <w:rsid w:val="005F73E7"/>
    <w:rsid w:val="005F7876"/>
    <w:rsid w:val="00600954"/>
    <w:rsid w:val="006027A7"/>
    <w:rsid w:val="006032FE"/>
    <w:rsid w:val="0060334F"/>
    <w:rsid w:val="0060375F"/>
    <w:rsid w:val="006037C1"/>
    <w:rsid w:val="00603BD8"/>
    <w:rsid w:val="00603F9D"/>
    <w:rsid w:val="00605A1A"/>
    <w:rsid w:val="006062BB"/>
    <w:rsid w:val="00606502"/>
    <w:rsid w:val="00606BF2"/>
    <w:rsid w:val="00610541"/>
    <w:rsid w:val="00610BCA"/>
    <w:rsid w:val="00611C64"/>
    <w:rsid w:val="006126E0"/>
    <w:rsid w:val="00612BE0"/>
    <w:rsid w:val="00613440"/>
    <w:rsid w:val="00613651"/>
    <w:rsid w:val="00613654"/>
    <w:rsid w:val="00614264"/>
    <w:rsid w:val="0061522F"/>
    <w:rsid w:val="00615633"/>
    <w:rsid w:val="006176A2"/>
    <w:rsid w:val="00617BFF"/>
    <w:rsid w:val="0062048D"/>
    <w:rsid w:val="006208F9"/>
    <w:rsid w:val="006240A1"/>
    <w:rsid w:val="00624F23"/>
    <w:rsid w:val="00630509"/>
    <w:rsid w:val="00632337"/>
    <w:rsid w:val="00632787"/>
    <w:rsid w:val="00633049"/>
    <w:rsid w:val="00633093"/>
    <w:rsid w:val="0063338D"/>
    <w:rsid w:val="006333BB"/>
    <w:rsid w:val="00640534"/>
    <w:rsid w:val="00643905"/>
    <w:rsid w:val="00643CBE"/>
    <w:rsid w:val="00650450"/>
    <w:rsid w:val="00650D8F"/>
    <w:rsid w:val="00650DF0"/>
    <w:rsid w:val="00651A80"/>
    <w:rsid w:val="00651F55"/>
    <w:rsid w:val="006523A9"/>
    <w:rsid w:val="00652559"/>
    <w:rsid w:val="00652849"/>
    <w:rsid w:val="00652B69"/>
    <w:rsid w:val="00652E3D"/>
    <w:rsid w:val="00654504"/>
    <w:rsid w:val="00654E02"/>
    <w:rsid w:val="00656DC9"/>
    <w:rsid w:val="006614D5"/>
    <w:rsid w:val="006620BE"/>
    <w:rsid w:val="00665D26"/>
    <w:rsid w:val="00666723"/>
    <w:rsid w:val="00666AFD"/>
    <w:rsid w:val="00672097"/>
    <w:rsid w:val="00672262"/>
    <w:rsid w:val="00675E47"/>
    <w:rsid w:val="00677AD6"/>
    <w:rsid w:val="00677DCC"/>
    <w:rsid w:val="00677EA3"/>
    <w:rsid w:val="00680085"/>
    <w:rsid w:val="006806A6"/>
    <w:rsid w:val="006808CB"/>
    <w:rsid w:val="00680D79"/>
    <w:rsid w:val="00681BA3"/>
    <w:rsid w:val="00683172"/>
    <w:rsid w:val="00684CA9"/>
    <w:rsid w:val="00684DE8"/>
    <w:rsid w:val="00690A09"/>
    <w:rsid w:val="00690BFF"/>
    <w:rsid w:val="006911BA"/>
    <w:rsid w:val="00691C30"/>
    <w:rsid w:val="00692515"/>
    <w:rsid w:val="00692523"/>
    <w:rsid w:val="006935C8"/>
    <w:rsid w:val="006935EB"/>
    <w:rsid w:val="00695640"/>
    <w:rsid w:val="006957F1"/>
    <w:rsid w:val="00697979"/>
    <w:rsid w:val="006A0035"/>
    <w:rsid w:val="006A00F8"/>
    <w:rsid w:val="006A1C8D"/>
    <w:rsid w:val="006A1EC3"/>
    <w:rsid w:val="006A22AC"/>
    <w:rsid w:val="006A26AF"/>
    <w:rsid w:val="006A2EE1"/>
    <w:rsid w:val="006A304A"/>
    <w:rsid w:val="006A34BE"/>
    <w:rsid w:val="006A3B53"/>
    <w:rsid w:val="006A3CB7"/>
    <w:rsid w:val="006A3CEB"/>
    <w:rsid w:val="006A3F3C"/>
    <w:rsid w:val="006A6366"/>
    <w:rsid w:val="006A66B9"/>
    <w:rsid w:val="006A6D72"/>
    <w:rsid w:val="006A6DF7"/>
    <w:rsid w:val="006A6F69"/>
    <w:rsid w:val="006A7814"/>
    <w:rsid w:val="006B15FA"/>
    <w:rsid w:val="006B27C2"/>
    <w:rsid w:val="006B2C9F"/>
    <w:rsid w:val="006B4D26"/>
    <w:rsid w:val="006B4FA5"/>
    <w:rsid w:val="006B53FF"/>
    <w:rsid w:val="006C0AFC"/>
    <w:rsid w:val="006C1370"/>
    <w:rsid w:val="006C140F"/>
    <w:rsid w:val="006C1C2B"/>
    <w:rsid w:val="006C1FB7"/>
    <w:rsid w:val="006C34A7"/>
    <w:rsid w:val="006C58B2"/>
    <w:rsid w:val="006C6AE6"/>
    <w:rsid w:val="006C6BC1"/>
    <w:rsid w:val="006C7448"/>
    <w:rsid w:val="006C7455"/>
    <w:rsid w:val="006D0A61"/>
    <w:rsid w:val="006D0EB7"/>
    <w:rsid w:val="006D1697"/>
    <w:rsid w:val="006D2697"/>
    <w:rsid w:val="006D4959"/>
    <w:rsid w:val="006D498F"/>
    <w:rsid w:val="006D4A0C"/>
    <w:rsid w:val="006D4D28"/>
    <w:rsid w:val="006D704D"/>
    <w:rsid w:val="006D747F"/>
    <w:rsid w:val="006E0606"/>
    <w:rsid w:val="006E2C95"/>
    <w:rsid w:val="006E3D04"/>
    <w:rsid w:val="006E4E63"/>
    <w:rsid w:val="006E712F"/>
    <w:rsid w:val="006F0A0B"/>
    <w:rsid w:val="006F0AA8"/>
    <w:rsid w:val="006F103D"/>
    <w:rsid w:val="006F1429"/>
    <w:rsid w:val="006F2B3D"/>
    <w:rsid w:val="006F3370"/>
    <w:rsid w:val="006F5237"/>
    <w:rsid w:val="006F553F"/>
    <w:rsid w:val="006F61E4"/>
    <w:rsid w:val="006F7390"/>
    <w:rsid w:val="006F791F"/>
    <w:rsid w:val="00700C77"/>
    <w:rsid w:val="0070105A"/>
    <w:rsid w:val="00701F73"/>
    <w:rsid w:val="0070312E"/>
    <w:rsid w:val="00703EE4"/>
    <w:rsid w:val="00704311"/>
    <w:rsid w:val="007051D4"/>
    <w:rsid w:val="00706183"/>
    <w:rsid w:val="00706E06"/>
    <w:rsid w:val="00707CC8"/>
    <w:rsid w:val="00711B9A"/>
    <w:rsid w:val="0071344F"/>
    <w:rsid w:val="007144AA"/>
    <w:rsid w:val="00714A0C"/>
    <w:rsid w:val="00714C2F"/>
    <w:rsid w:val="007153F8"/>
    <w:rsid w:val="0071780F"/>
    <w:rsid w:val="00720543"/>
    <w:rsid w:val="00722120"/>
    <w:rsid w:val="0072409B"/>
    <w:rsid w:val="00724664"/>
    <w:rsid w:val="007248E3"/>
    <w:rsid w:val="00725060"/>
    <w:rsid w:val="00725DFE"/>
    <w:rsid w:val="007262AD"/>
    <w:rsid w:val="00726931"/>
    <w:rsid w:val="00727505"/>
    <w:rsid w:val="00731EBF"/>
    <w:rsid w:val="007349D4"/>
    <w:rsid w:val="00736201"/>
    <w:rsid w:val="00736892"/>
    <w:rsid w:val="00736A8E"/>
    <w:rsid w:val="0073747C"/>
    <w:rsid w:val="00737DC3"/>
    <w:rsid w:val="00740D08"/>
    <w:rsid w:val="0074121F"/>
    <w:rsid w:val="00741581"/>
    <w:rsid w:val="007431F2"/>
    <w:rsid w:val="00744888"/>
    <w:rsid w:val="0074543E"/>
    <w:rsid w:val="00745814"/>
    <w:rsid w:val="0075223A"/>
    <w:rsid w:val="00752539"/>
    <w:rsid w:val="0075316E"/>
    <w:rsid w:val="007532AB"/>
    <w:rsid w:val="00753715"/>
    <w:rsid w:val="00753F7D"/>
    <w:rsid w:val="007552DE"/>
    <w:rsid w:val="0075605D"/>
    <w:rsid w:val="00756B6B"/>
    <w:rsid w:val="0075717E"/>
    <w:rsid w:val="007571AC"/>
    <w:rsid w:val="0076024A"/>
    <w:rsid w:val="00760FDA"/>
    <w:rsid w:val="007616F9"/>
    <w:rsid w:val="00761FCB"/>
    <w:rsid w:val="007639FD"/>
    <w:rsid w:val="00763FE7"/>
    <w:rsid w:val="007649CA"/>
    <w:rsid w:val="00765AC4"/>
    <w:rsid w:val="0076683F"/>
    <w:rsid w:val="00766952"/>
    <w:rsid w:val="00770617"/>
    <w:rsid w:val="00770704"/>
    <w:rsid w:val="00772254"/>
    <w:rsid w:val="0077298A"/>
    <w:rsid w:val="00773C8A"/>
    <w:rsid w:val="00773C98"/>
    <w:rsid w:val="007747C1"/>
    <w:rsid w:val="0077637B"/>
    <w:rsid w:val="007764AA"/>
    <w:rsid w:val="0078080D"/>
    <w:rsid w:val="007811DA"/>
    <w:rsid w:val="0078214E"/>
    <w:rsid w:val="0078220B"/>
    <w:rsid w:val="007824CD"/>
    <w:rsid w:val="0078253F"/>
    <w:rsid w:val="007830CE"/>
    <w:rsid w:val="0078344B"/>
    <w:rsid w:val="00784898"/>
    <w:rsid w:val="007854EB"/>
    <w:rsid w:val="00785D38"/>
    <w:rsid w:val="00787647"/>
    <w:rsid w:val="00790A15"/>
    <w:rsid w:val="00790A84"/>
    <w:rsid w:val="007911C5"/>
    <w:rsid w:val="0079253F"/>
    <w:rsid w:val="00792B8B"/>
    <w:rsid w:val="00792E07"/>
    <w:rsid w:val="00793757"/>
    <w:rsid w:val="00794FC1"/>
    <w:rsid w:val="0079551B"/>
    <w:rsid w:val="007960BE"/>
    <w:rsid w:val="007965C1"/>
    <w:rsid w:val="0079674A"/>
    <w:rsid w:val="00797DAA"/>
    <w:rsid w:val="007A0246"/>
    <w:rsid w:val="007A3582"/>
    <w:rsid w:val="007A4C41"/>
    <w:rsid w:val="007A57DB"/>
    <w:rsid w:val="007A61BA"/>
    <w:rsid w:val="007A64DF"/>
    <w:rsid w:val="007A6C25"/>
    <w:rsid w:val="007B1877"/>
    <w:rsid w:val="007B2098"/>
    <w:rsid w:val="007B2200"/>
    <w:rsid w:val="007B26AB"/>
    <w:rsid w:val="007B2A0C"/>
    <w:rsid w:val="007B2DA2"/>
    <w:rsid w:val="007B3796"/>
    <w:rsid w:val="007B3AEC"/>
    <w:rsid w:val="007B650F"/>
    <w:rsid w:val="007B6946"/>
    <w:rsid w:val="007B6E36"/>
    <w:rsid w:val="007B7660"/>
    <w:rsid w:val="007C0283"/>
    <w:rsid w:val="007C0FF7"/>
    <w:rsid w:val="007C1391"/>
    <w:rsid w:val="007C1B49"/>
    <w:rsid w:val="007C2258"/>
    <w:rsid w:val="007C2593"/>
    <w:rsid w:val="007C28D0"/>
    <w:rsid w:val="007C312E"/>
    <w:rsid w:val="007C4164"/>
    <w:rsid w:val="007C4C1C"/>
    <w:rsid w:val="007C4F0C"/>
    <w:rsid w:val="007C5DE8"/>
    <w:rsid w:val="007C624E"/>
    <w:rsid w:val="007C6921"/>
    <w:rsid w:val="007C7E80"/>
    <w:rsid w:val="007C7FE8"/>
    <w:rsid w:val="007D0CBD"/>
    <w:rsid w:val="007D0E3C"/>
    <w:rsid w:val="007D1D83"/>
    <w:rsid w:val="007D20FE"/>
    <w:rsid w:val="007D2BD8"/>
    <w:rsid w:val="007D312C"/>
    <w:rsid w:val="007D343F"/>
    <w:rsid w:val="007D48D2"/>
    <w:rsid w:val="007D65C0"/>
    <w:rsid w:val="007D69DA"/>
    <w:rsid w:val="007D7046"/>
    <w:rsid w:val="007E1C85"/>
    <w:rsid w:val="007E37DA"/>
    <w:rsid w:val="007E3D37"/>
    <w:rsid w:val="007E3E7F"/>
    <w:rsid w:val="007E40D0"/>
    <w:rsid w:val="007E592A"/>
    <w:rsid w:val="007E6645"/>
    <w:rsid w:val="007E687B"/>
    <w:rsid w:val="007E71E9"/>
    <w:rsid w:val="007F00E3"/>
    <w:rsid w:val="007F1306"/>
    <w:rsid w:val="007F13E0"/>
    <w:rsid w:val="007F3BC5"/>
    <w:rsid w:val="007F4F89"/>
    <w:rsid w:val="007F52FB"/>
    <w:rsid w:val="007F5E40"/>
    <w:rsid w:val="007F73CB"/>
    <w:rsid w:val="00801D1D"/>
    <w:rsid w:val="008028A3"/>
    <w:rsid w:val="00802E30"/>
    <w:rsid w:val="008032B8"/>
    <w:rsid w:val="008046E1"/>
    <w:rsid w:val="00804CFC"/>
    <w:rsid w:val="00804D5B"/>
    <w:rsid w:val="0080522A"/>
    <w:rsid w:val="00805FBC"/>
    <w:rsid w:val="00806954"/>
    <w:rsid w:val="00806C7A"/>
    <w:rsid w:val="008109DF"/>
    <w:rsid w:val="008111F9"/>
    <w:rsid w:val="008141CF"/>
    <w:rsid w:val="0081682D"/>
    <w:rsid w:val="00816FEF"/>
    <w:rsid w:val="0082000F"/>
    <w:rsid w:val="00823288"/>
    <w:rsid w:val="0082344B"/>
    <w:rsid w:val="00823ECF"/>
    <w:rsid w:val="008251DC"/>
    <w:rsid w:val="00825361"/>
    <w:rsid w:val="008264FA"/>
    <w:rsid w:val="0083105D"/>
    <w:rsid w:val="00831241"/>
    <w:rsid w:val="00831E70"/>
    <w:rsid w:val="008326D3"/>
    <w:rsid w:val="0083309A"/>
    <w:rsid w:val="00834D48"/>
    <w:rsid w:val="00835346"/>
    <w:rsid w:val="008410E6"/>
    <w:rsid w:val="0084143F"/>
    <w:rsid w:val="00841489"/>
    <w:rsid w:val="00841F20"/>
    <w:rsid w:val="00841F48"/>
    <w:rsid w:val="008429AA"/>
    <w:rsid w:val="008429CE"/>
    <w:rsid w:val="00843E9A"/>
    <w:rsid w:val="0084446F"/>
    <w:rsid w:val="00844668"/>
    <w:rsid w:val="008451C6"/>
    <w:rsid w:val="008451F2"/>
    <w:rsid w:val="00847003"/>
    <w:rsid w:val="00847C9B"/>
    <w:rsid w:val="00850974"/>
    <w:rsid w:val="00851DCB"/>
    <w:rsid w:val="00851E37"/>
    <w:rsid w:val="00852F00"/>
    <w:rsid w:val="00853DC7"/>
    <w:rsid w:val="00853E91"/>
    <w:rsid w:val="00854702"/>
    <w:rsid w:val="00856F73"/>
    <w:rsid w:val="008572BE"/>
    <w:rsid w:val="00857876"/>
    <w:rsid w:val="0086070D"/>
    <w:rsid w:val="00860B72"/>
    <w:rsid w:val="00861652"/>
    <w:rsid w:val="00861A7E"/>
    <w:rsid w:val="00862F4F"/>
    <w:rsid w:val="0086487B"/>
    <w:rsid w:val="00864903"/>
    <w:rsid w:val="00865767"/>
    <w:rsid w:val="008660DA"/>
    <w:rsid w:val="00867741"/>
    <w:rsid w:val="008705FA"/>
    <w:rsid w:val="00872BC3"/>
    <w:rsid w:val="00872C4B"/>
    <w:rsid w:val="008732E6"/>
    <w:rsid w:val="008739E9"/>
    <w:rsid w:val="0087480A"/>
    <w:rsid w:val="00874E82"/>
    <w:rsid w:val="0087537C"/>
    <w:rsid w:val="0087568D"/>
    <w:rsid w:val="008758D1"/>
    <w:rsid w:val="00877A26"/>
    <w:rsid w:val="00877ADC"/>
    <w:rsid w:val="0088057C"/>
    <w:rsid w:val="00881815"/>
    <w:rsid w:val="00881E9C"/>
    <w:rsid w:val="00884127"/>
    <w:rsid w:val="0088528E"/>
    <w:rsid w:val="00885450"/>
    <w:rsid w:val="0088583E"/>
    <w:rsid w:val="0088601B"/>
    <w:rsid w:val="00890817"/>
    <w:rsid w:val="008914EB"/>
    <w:rsid w:val="0089162F"/>
    <w:rsid w:val="008926E6"/>
    <w:rsid w:val="00893189"/>
    <w:rsid w:val="00894D08"/>
    <w:rsid w:val="00895BF8"/>
    <w:rsid w:val="00895EED"/>
    <w:rsid w:val="00896CE5"/>
    <w:rsid w:val="008974D5"/>
    <w:rsid w:val="00897DD7"/>
    <w:rsid w:val="008A0AEF"/>
    <w:rsid w:val="008A1165"/>
    <w:rsid w:val="008A278C"/>
    <w:rsid w:val="008A281E"/>
    <w:rsid w:val="008A2A5C"/>
    <w:rsid w:val="008A2A8E"/>
    <w:rsid w:val="008A30C3"/>
    <w:rsid w:val="008A3641"/>
    <w:rsid w:val="008A3B4B"/>
    <w:rsid w:val="008A49AF"/>
    <w:rsid w:val="008A63E7"/>
    <w:rsid w:val="008A65F1"/>
    <w:rsid w:val="008A7033"/>
    <w:rsid w:val="008A7DFE"/>
    <w:rsid w:val="008B008A"/>
    <w:rsid w:val="008B463A"/>
    <w:rsid w:val="008B58AE"/>
    <w:rsid w:val="008B5AC8"/>
    <w:rsid w:val="008B5C7E"/>
    <w:rsid w:val="008B5F2F"/>
    <w:rsid w:val="008B657B"/>
    <w:rsid w:val="008B6BA6"/>
    <w:rsid w:val="008B6D8A"/>
    <w:rsid w:val="008B71C9"/>
    <w:rsid w:val="008C08F9"/>
    <w:rsid w:val="008C101A"/>
    <w:rsid w:val="008C2BC5"/>
    <w:rsid w:val="008C2CC3"/>
    <w:rsid w:val="008C4FBA"/>
    <w:rsid w:val="008C73FB"/>
    <w:rsid w:val="008C7452"/>
    <w:rsid w:val="008C7502"/>
    <w:rsid w:val="008D2EBA"/>
    <w:rsid w:val="008D3137"/>
    <w:rsid w:val="008D56EF"/>
    <w:rsid w:val="008D5819"/>
    <w:rsid w:val="008D5B32"/>
    <w:rsid w:val="008E0243"/>
    <w:rsid w:val="008E1A5F"/>
    <w:rsid w:val="008E1BDB"/>
    <w:rsid w:val="008E3499"/>
    <w:rsid w:val="008E4F4F"/>
    <w:rsid w:val="008E508E"/>
    <w:rsid w:val="008E55F8"/>
    <w:rsid w:val="008E5E14"/>
    <w:rsid w:val="008F3EE3"/>
    <w:rsid w:val="008F429B"/>
    <w:rsid w:val="008F542A"/>
    <w:rsid w:val="008F6324"/>
    <w:rsid w:val="008F7C2D"/>
    <w:rsid w:val="00900207"/>
    <w:rsid w:val="00900581"/>
    <w:rsid w:val="00900D85"/>
    <w:rsid w:val="00901114"/>
    <w:rsid w:val="00904668"/>
    <w:rsid w:val="0090488D"/>
    <w:rsid w:val="00906BFB"/>
    <w:rsid w:val="00906EB9"/>
    <w:rsid w:val="00907E64"/>
    <w:rsid w:val="00907FF0"/>
    <w:rsid w:val="00910043"/>
    <w:rsid w:val="0091021E"/>
    <w:rsid w:val="00910617"/>
    <w:rsid w:val="00910C9C"/>
    <w:rsid w:val="00913AE0"/>
    <w:rsid w:val="00913B45"/>
    <w:rsid w:val="00914A16"/>
    <w:rsid w:val="009157F0"/>
    <w:rsid w:val="0091768C"/>
    <w:rsid w:val="0092205D"/>
    <w:rsid w:val="00922B3E"/>
    <w:rsid w:val="0092320C"/>
    <w:rsid w:val="00923875"/>
    <w:rsid w:val="00923FA9"/>
    <w:rsid w:val="009241EA"/>
    <w:rsid w:val="009245F4"/>
    <w:rsid w:val="00927109"/>
    <w:rsid w:val="00927DBF"/>
    <w:rsid w:val="00931059"/>
    <w:rsid w:val="00931BA8"/>
    <w:rsid w:val="00931E43"/>
    <w:rsid w:val="00932FAE"/>
    <w:rsid w:val="0093348D"/>
    <w:rsid w:val="009356FC"/>
    <w:rsid w:val="00936C0C"/>
    <w:rsid w:val="00940171"/>
    <w:rsid w:val="0094088F"/>
    <w:rsid w:val="0094288A"/>
    <w:rsid w:val="00942C6A"/>
    <w:rsid w:val="00943364"/>
    <w:rsid w:val="009435B0"/>
    <w:rsid w:val="0094402E"/>
    <w:rsid w:val="009459E1"/>
    <w:rsid w:val="009509CC"/>
    <w:rsid w:val="00950D90"/>
    <w:rsid w:val="0095116D"/>
    <w:rsid w:val="00951A41"/>
    <w:rsid w:val="009537C5"/>
    <w:rsid w:val="009543BE"/>
    <w:rsid w:val="00957AFD"/>
    <w:rsid w:val="00962AAC"/>
    <w:rsid w:val="00964CDA"/>
    <w:rsid w:val="00964DF6"/>
    <w:rsid w:val="00965784"/>
    <w:rsid w:val="00965FF4"/>
    <w:rsid w:val="0096724D"/>
    <w:rsid w:val="00967976"/>
    <w:rsid w:val="0097040B"/>
    <w:rsid w:val="00970D97"/>
    <w:rsid w:val="0097171C"/>
    <w:rsid w:val="00973B78"/>
    <w:rsid w:val="009747D9"/>
    <w:rsid w:val="00974EBD"/>
    <w:rsid w:val="0097529D"/>
    <w:rsid w:val="009752B6"/>
    <w:rsid w:val="00975967"/>
    <w:rsid w:val="009760FE"/>
    <w:rsid w:val="00976B1B"/>
    <w:rsid w:val="0097749B"/>
    <w:rsid w:val="0098084B"/>
    <w:rsid w:val="00982419"/>
    <w:rsid w:val="00982B57"/>
    <w:rsid w:val="00983437"/>
    <w:rsid w:val="00984B70"/>
    <w:rsid w:val="00984C96"/>
    <w:rsid w:val="00984D9F"/>
    <w:rsid w:val="00985631"/>
    <w:rsid w:val="00985897"/>
    <w:rsid w:val="00986CCA"/>
    <w:rsid w:val="00987B3C"/>
    <w:rsid w:val="0099256A"/>
    <w:rsid w:val="009931B2"/>
    <w:rsid w:val="0099328C"/>
    <w:rsid w:val="00996073"/>
    <w:rsid w:val="0099794C"/>
    <w:rsid w:val="009A193E"/>
    <w:rsid w:val="009A1A0D"/>
    <w:rsid w:val="009A1C15"/>
    <w:rsid w:val="009A2CA6"/>
    <w:rsid w:val="009A446A"/>
    <w:rsid w:val="009A46E0"/>
    <w:rsid w:val="009A56A1"/>
    <w:rsid w:val="009B309A"/>
    <w:rsid w:val="009B4F44"/>
    <w:rsid w:val="009B5010"/>
    <w:rsid w:val="009B513B"/>
    <w:rsid w:val="009B5E55"/>
    <w:rsid w:val="009B5F27"/>
    <w:rsid w:val="009C06B3"/>
    <w:rsid w:val="009C0856"/>
    <w:rsid w:val="009C1D70"/>
    <w:rsid w:val="009C23B3"/>
    <w:rsid w:val="009C3318"/>
    <w:rsid w:val="009C46D9"/>
    <w:rsid w:val="009C7BFA"/>
    <w:rsid w:val="009D0880"/>
    <w:rsid w:val="009D254E"/>
    <w:rsid w:val="009D2DA8"/>
    <w:rsid w:val="009D333B"/>
    <w:rsid w:val="009D4FAD"/>
    <w:rsid w:val="009D5069"/>
    <w:rsid w:val="009D6852"/>
    <w:rsid w:val="009D7610"/>
    <w:rsid w:val="009E0972"/>
    <w:rsid w:val="009E2470"/>
    <w:rsid w:val="009E279A"/>
    <w:rsid w:val="009E28C4"/>
    <w:rsid w:val="009E2BBA"/>
    <w:rsid w:val="009E3349"/>
    <w:rsid w:val="009E3AB5"/>
    <w:rsid w:val="009E480A"/>
    <w:rsid w:val="009E578D"/>
    <w:rsid w:val="009E5833"/>
    <w:rsid w:val="009E59D6"/>
    <w:rsid w:val="009E5FE4"/>
    <w:rsid w:val="009E6C51"/>
    <w:rsid w:val="009E748F"/>
    <w:rsid w:val="009F0045"/>
    <w:rsid w:val="009F1587"/>
    <w:rsid w:val="009F1E44"/>
    <w:rsid w:val="009F37BD"/>
    <w:rsid w:val="009F48AE"/>
    <w:rsid w:val="009F6117"/>
    <w:rsid w:val="00A00C61"/>
    <w:rsid w:val="00A025CD"/>
    <w:rsid w:val="00A02D4B"/>
    <w:rsid w:val="00A02D6F"/>
    <w:rsid w:val="00A02F9E"/>
    <w:rsid w:val="00A04765"/>
    <w:rsid w:val="00A0574C"/>
    <w:rsid w:val="00A06869"/>
    <w:rsid w:val="00A07134"/>
    <w:rsid w:val="00A07A94"/>
    <w:rsid w:val="00A07D5B"/>
    <w:rsid w:val="00A12523"/>
    <w:rsid w:val="00A126DF"/>
    <w:rsid w:val="00A12E93"/>
    <w:rsid w:val="00A12F07"/>
    <w:rsid w:val="00A1500B"/>
    <w:rsid w:val="00A1565F"/>
    <w:rsid w:val="00A15D7E"/>
    <w:rsid w:val="00A15F83"/>
    <w:rsid w:val="00A17E11"/>
    <w:rsid w:val="00A206B2"/>
    <w:rsid w:val="00A20A35"/>
    <w:rsid w:val="00A226C0"/>
    <w:rsid w:val="00A22DC9"/>
    <w:rsid w:val="00A23594"/>
    <w:rsid w:val="00A250D5"/>
    <w:rsid w:val="00A26017"/>
    <w:rsid w:val="00A260FA"/>
    <w:rsid w:val="00A26353"/>
    <w:rsid w:val="00A269F6"/>
    <w:rsid w:val="00A27079"/>
    <w:rsid w:val="00A3039F"/>
    <w:rsid w:val="00A30E24"/>
    <w:rsid w:val="00A316F5"/>
    <w:rsid w:val="00A3197B"/>
    <w:rsid w:val="00A31A0F"/>
    <w:rsid w:val="00A31AEF"/>
    <w:rsid w:val="00A31D3C"/>
    <w:rsid w:val="00A34053"/>
    <w:rsid w:val="00A35761"/>
    <w:rsid w:val="00A358E2"/>
    <w:rsid w:val="00A35BAA"/>
    <w:rsid w:val="00A368DA"/>
    <w:rsid w:val="00A374F8"/>
    <w:rsid w:val="00A40A21"/>
    <w:rsid w:val="00A41F2D"/>
    <w:rsid w:val="00A4283C"/>
    <w:rsid w:val="00A44D2A"/>
    <w:rsid w:val="00A44FE8"/>
    <w:rsid w:val="00A464B5"/>
    <w:rsid w:val="00A46D6A"/>
    <w:rsid w:val="00A470D4"/>
    <w:rsid w:val="00A50334"/>
    <w:rsid w:val="00A51393"/>
    <w:rsid w:val="00A52A05"/>
    <w:rsid w:val="00A52DFB"/>
    <w:rsid w:val="00A53DF8"/>
    <w:rsid w:val="00A55E2D"/>
    <w:rsid w:val="00A56FBF"/>
    <w:rsid w:val="00A578EB"/>
    <w:rsid w:val="00A57B64"/>
    <w:rsid w:val="00A57DC2"/>
    <w:rsid w:val="00A57FDB"/>
    <w:rsid w:val="00A6010F"/>
    <w:rsid w:val="00A60FAA"/>
    <w:rsid w:val="00A611C7"/>
    <w:rsid w:val="00A640CA"/>
    <w:rsid w:val="00A646E0"/>
    <w:rsid w:val="00A67437"/>
    <w:rsid w:val="00A709C3"/>
    <w:rsid w:val="00A7142E"/>
    <w:rsid w:val="00A71531"/>
    <w:rsid w:val="00A71B72"/>
    <w:rsid w:val="00A73FEC"/>
    <w:rsid w:val="00A740BA"/>
    <w:rsid w:val="00A75BF9"/>
    <w:rsid w:val="00A7641E"/>
    <w:rsid w:val="00A766A7"/>
    <w:rsid w:val="00A76A4E"/>
    <w:rsid w:val="00A76BBC"/>
    <w:rsid w:val="00A76CF6"/>
    <w:rsid w:val="00A82979"/>
    <w:rsid w:val="00A83E54"/>
    <w:rsid w:val="00A85124"/>
    <w:rsid w:val="00A85477"/>
    <w:rsid w:val="00A85D7A"/>
    <w:rsid w:val="00A87B20"/>
    <w:rsid w:val="00A90F7F"/>
    <w:rsid w:val="00A928F0"/>
    <w:rsid w:val="00A92DFD"/>
    <w:rsid w:val="00A93AAA"/>
    <w:rsid w:val="00A94CA4"/>
    <w:rsid w:val="00A95007"/>
    <w:rsid w:val="00A956F8"/>
    <w:rsid w:val="00A95E63"/>
    <w:rsid w:val="00A976EB"/>
    <w:rsid w:val="00AA331F"/>
    <w:rsid w:val="00AA4C06"/>
    <w:rsid w:val="00AA4C42"/>
    <w:rsid w:val="00AA4CAA"/>
    <w:rsid w:val="00AA60D1"/>
    <w:rsid w:val="00AA6677"/>
    <w:rsid w:val="00AA7E90"/>
    <w:rsid w:val="00AB0405"/>
    <w:rsid w:val="00AB0515"/>
    <w:rsid w:val="00AB0FEE"/>
    <w:rsid w:val="00AB274F"/>
    <w:rsid w:val="00AB40ED"/>
    <w:rsid w:val="00AB54CC"/>
    <w:rsid w:val="00AC673A"/>
    <w:rsid w:val="00AC6800"/>
    <w:rsid w:val="00AC6CAA"/>
    <w:rsid w:val="00AD05F4"/>
    <w:rsid w:val="00AD14CA"/>
    <w:rsid w:val="00AD1F01"/>
    <w:rsid w:val="00AD352E"/>
    <w:rsid w:val="00AD3918"/>
    <w:rsid w:val="00AD50F1"/>
    <w:rsid w:val="00AD5C92"/>
    <w:rsid w:val="00AD6DE8"/>
    <w:rsid w:val="00AD7502"/>
    <w:rsid w:val="00AE0C98"/>
    <w:rsid w:val="00AE1591"/>
    <w:rsid w:val="00AE20D4"/>
    <w:rsid w:val="00AE3819"/>
    <w:rsid w:val="00AE3EF1"/>
    <w:rsid w:val="00AE4BA4"/>
    <w:rsid w:val="00AE652A"/>
    <w:rsid w:val="00AF01FA"/>
    <w:rsid w:val="00AF4B81"/>
    <w:rsid w:val="00AF4ED9"/>
    <w:rsid w:val="00AF554C"/>
    <w:rsid w:val="00AF58F4"/>
    <w:rsid w:val="00AF5EF5"/>
    <w:rsid w:val="00AF6859"/>
    <w:rsid w:val="00AF72AF"/>
    <w:rsid w:val="00AF7C9B"/>
    <w:rsid w:val="00B00AF8"/>
    <w:rsid w:val="00B0123D"/>
    <w:rsid w:val="00B01F61"/>
    <w:rsid w:val="00B02C5E"/>
    <w:rsid w:val="00B03CEE"/>
    <w:rsid w:val="00B043A4"/>
    <w:rsid w:val="00B07C72"/>
    <w:rsid w:val="00B100F6"/>
    <w:rsid w:val="00B105A1"/>
    <w:rsid w:val="00B11521"/>
    <w:rsid w:val="00B12274"/>
    <w:rsid w:val="00B1243C"/>
    <w:rsid w:val="00B147C0"/>
    <w:rsid w:val="00B14D22"/>
    <w:rsid w:val="00B20150"/>
    <w:rsid w:val="00B2102A"/>
    <w:rsid w:val="00B21A1F"/>
    <w:rsid w:val="00B21B02"/>
    <w:rsid w:val="00B221F4"/>
    <w:rsid w:val="00B2326C"/>
    <w:rsid w:val="00B23568"/>
    <w:rsid w:val="00B23F9D"/>
    <w:rsid w:val="00B24117"/>
    <w:rsid w:val="00B241A0"/>
    <w:rsid w:val="00B243F6"/>
    <w:rsid w:val="00B26BED"/>
    <w:rsid w:val="00B276B7"/>
    <w:rsid w:val="00B278FE"/>
    <w:rsid w:val="00B27C70"/>
    <w:rsid w:val="00B30F16"/>
    <w:rsid w:val="00B31CF6"/>
    <w:rsid w:val="00B3341E"/>
    <w:rsid w:val="00B34EB6"/>
    <w:rsid w:val="00B34F11"/>
    <w:rsid w:val="00B368C1"/>
    <w:rsid w:val="00B40889"/>
    <w:rsid w:val="00B40A17"/>
    <w:rsid w:val="00B41028"/>
    <w:rsid w:val="00B417B5"/>
    <w:rsid w:val="00B427E0"/>
    <w:rsid w:val="00B440E2"/>
    <w:rsid w:val="00B441D3"/>
    <w:rsid w:val="00B44539"/>
    <w:rsid w:val="00B46E60"/>
    <w:rsid w:val="00B47E66"/>
    <w:rsid w:val="00B52199"/>
    <w:rsid w:val="00B524CB"/>
    <w:rsid w:val="00B52818"/>
    <w:rsid w:val="00B55A26"/>
    <w:rsid w:val="00B55F55"/>
    <w:rsid w:val="00B56C1C"/>
    <w:rsid w:val="00B56C34"/>
    <w:rsid w:val="00B60565"/>
    <w:rsid w:val="00B6306A"/>
    <w:rsid w:val="00B6308D"/>
    <w:rsid w:val="00B631D9"/>
    <w:rsid w:val="00B639AD"/>
    <w:rsid w:val="00B6511C"/>
    <w:rsid w:val="00B65C6E"/>
    <w:rsid w:val="00B670EE"/>
    <w:rsid w:val="00B671B7"/>
    <w:rsid w:val="00B67585"/>
    <w:rsid w:val="00B676C9"/>
    <w:rsid w:val="00B704BB"/>
    <w:rsid w:val="00B70FB9"/>
    <w:rsid w:val="00B72BDD"/>
    <w:rsid w:val="00B74AB8"/>
    <w:rsid w:val="00B74D15"/>
    <w:rsid w:val="00B75094"/>
    <w:rsid w:val="00B75BDC"/>
    <w:rsid w:val="00B75D6C"/>
    <w:rsid w:val="00B75E65"/>
    <w:rsid w:val="00B7730F"/>
    <w:rsid w:val="00B7731A"/>
    <w:rsid w:val="00B77547"/>
    <w:rsid w:val="00B77C2E"/>
    <w:rsid w:val="00B8188E"/>
    <w:rsid w:val="00B8209D"/>
    <w:rsid w:val="00B829DE"/>
    <w:rsid w:val="00B82B64"/>
    <w:rsid w:val="00B84D37"/>
    <w:rsid w:val="00B855D2"/>
    <w:rsid w:val="00B93562"/>
    <w:rsid w:val="00B93B95"/>
    <w:rsid w:val="00B95AE3"/>
    <w:rsid w:val="00B96029"/>
    <w:rsid w:val="00B97CD0"/>
    <w:rsid w:val="00BA078D"/>
    <w:rsid w:val="00BA2203"/>
    <w:rsid w:val="00BA2ABE"/>
    <w:rsid w:val="00BA4316"/>
    <w:rsid w:val="00BA4785"/>
    <w:rsid w:val="00BA484B"/>
    <w:rsid w:val="00BA6081"/>
    <w:rsid w:val="00BA78F2"/>
    <w:rsid w:val="00BB14F8"/>
    <w:rsid w:val="00BB1999"/>
    <w:rsid w:val="00BB201D"/>
    <w:rsid w:val="00BB24E7"/>
    <w:rsid w:val="00BB289F"/>
    <w:rsid w:val="00BB48E7"/>
    <w:rsid w:val="00BB70AA"/>
    <w:rsid w:val="00BB73F6"/>
    <w:rsid w:val="00BB7B96"/>
    <w:rsid w:val="00BC23A1"/>
    <w:rsid w:val="00BC3236"/>
    <w:rsid w:val="00BC4906"/>
    <w:rsid w:val="00BC59B1"/>
    <w:rsid w:val="00BC6192"/>
    <w:rsid w:val="00BC6D2E"/>
    <w:rsid w:val="00BD0029"/>
    <w:rsid w:val="00BD0FC3"/>
    <w:rsid w:val="00BD15C1"/>
    <w:rsid w:val="00BD25AF"/>
    <w:rsid w:val="00BD3D87"/>
    <w:rsid w:val="00BD561F"/>
    <w:rsid w:val="00BD5A85"/>
    <w:rsid w:val="00BD7193"/>
    <w:rsid w:val="00BE0BA1"/>
    <w:rsid w:val="00BE115A"/>
    <w:rsid w:val="00BE1714"/>
    <w:rsid w:val="00BE324C"/>
    <w:rsid w:val="00BE3881"/>
    <w:rsid w:val="00BE41CB"/>
    <w:rsid w:val="00BE455E"/>
    <w:rsid w:val="00BE4682"/>
    <w:rsid w:val="00BE53B2"/>
    <w:rsid w:val="00BE5413"/>
    <w:rsid w:val="00BE573B"/>
    <w:rsid w:val="00BE5FEA"/>
    <w:rsid w:val="00BE6B90"/>
    <w:rsid w:val="00BF33E1"/>
    <w:rsid w:val="00BF371E"/>
    <w:rsid w:val="00BF4034"/>
    <w:rsid w:val="00BF44CC"/>
    <w:rsid w:val="00C00E7C"/>
    <w:rsid w:val="00C00F61"/>
    <w:rsid w:val="00C01581"/>
    <w:rsid w:val="00C01834"/>
    <w:rsid w:val="00C03316"/>
    <w:rsid w:val="00C03BB6"/>
    <w:rsid w:val="00C04452"/>
    <w:rsid w:val="00C04644"/>
    <w:rsid w:val="00C05C73"/>
    <w:rsid w:val="00C07EC6"/>
    <w:rsid w:val="00C07F72"/>
    <w:rsid w:val="00C11214"/>
    <w:rsid w:val="00C11466"/>
    <w:rsid w:val="00C1211C"/>
    <w:rsid w:val="00C12953"/>
    <w:rsid w:val="00C13634"/>
    <w:rsid w:val="00C14173"/>
    <w:rsid w:val="00C16E72"/>
    <w:rsid w:val="00C17250"/>
    <w:rsid w:val="00C20047"/>
    <w:rsid w:val="00C203BE"/>
    <w:rsid w:val="00C20A39"/>
    <w:rsid w:val="00C24B13"/>
    <w:rsid w:val="00C25DCD"/>
    <w:rsid w:val="00C261D0"/>
    <w:rsid w:val="00C27721"/>
    <w:rsid w:val="00C2781A"/>
    <w:rsid w:val="00C27834"/>
    <w:rsid w:val="00C27AF6"/>
    <w:rsid w:val="00C31DC1"/>
    <w:rsid w:val="00C32833"/>
    <w:rsid w:val="00C32C8F"/>
    <w:rsid w:val="00C33B95"/>
    <w:rsid w:val="00C33BE8"/>
    <w:rsid w:val="00C352DA"/>
    <w:rsid w:val="00C3563D"/>
    <w:rsid w:val="00C35760"/>
    <w:rsid w:val="00C357C4"/>
    <w:rsid w:val="00C36DC2"/>
    <w:rsid w:val="00C375C9"/>
    <w:rsid w:val="00C3779D"/>
    <w:rsid w:val="00C37A31"/>
    <w:rsid w:val="00C42EA4"/>
    <w:rsid w:val="00C43D45"/>
    <w:rsid w:val="00C45BBA"/>
    <w:rsid w:val="00C4633E"/>
    <w:rsid w:val="00C476D3"/>
    <w:rsid w:val="00C477F2"/>
    <w:rsid w:val="00C478BB"/>
    <w:rsid w:val="00C47A3B"/>
    <w:rsid w:val="00C501F4"/>
    <w:rsid w:val="00C50EBF"/>
    <w:rsid w:val="00C51451"/>
    <w:rsid w:val="00C516D4"/>
    <w:rsid w:val="00C517D1"/>
    <w:rsid w:val="00C5255D"/>
    <w:rsid w:val="00C53DE5"/>
    <w:rsid w:val="00C56AAB"/>
    <w:rsid w:val="00C56B93"/>
    <w:rsid w:val="00C6009C"/>
    <w:rsid w:val="00C60124"/>
    <w:rsid w:val="00C6062B"/>
    <w:rsid w:val="00C61B04"/>
    <w:rsid w:val="00C624C7"/>
    <w:rsid w:val="00C64B24"/>
    <w:rsid w:val="00C65EAD"/>
    <w:rsid w:val="00C67E04"/>
    <w:rsid w:val="00C72618"/>
    <w:rsid w:val="00C73ADC"/>
    <w:rsid w:val="00C7507E"/>
    <w:rsid w:val="00C76B23"/>
    <w:rsid w:val="00C77960"/>
    <w:rsid w:val="00C8002A"/>
    <w:rsid w:val="00C800E8"/>
    <w:rsid w:val="00C80573"/>
    <w:rsid w:val="00C80FA1"/>
    <w:rsid w:val="00C81831"/>
    <w:rsid w:val="00C83712"/>
    <w:rsid w:val="00C8382F"/>
    <w:rsid w:val="00C84A0E"/>
    <w:rsid w:val="00C84C21"/>
    <w:rsid w:val="00C86385"/>
    <w:rsid w:val="00C87C23"/>
    <w:rsid w:val="00C91F3A"/>
    <w:rsid w:val="00C92553"/>
    <w:rsid w:val="00C9264C"/>
    <w:rsid w:val="00C93171"/>
    <w:rsid w:val="00C93829"/>
    <w:rsid w:val="00C94AE9"/>
    <w:rsid w:val="00C9648B"/>
    <w:rsid w:val="00C97966"/>
    <w:rsid w:val="00CA00E0"/>
    <w:rsid w:val="00CA03F9"/>
    <w:rsid w:val="00CA4457"/>
    <w:rsid w:val="00CA5003"/>
    <w:rsid w:val="00CA69E1"/>
    <w:rsid w:val="00CB03B4"/>
    <w:rsid w:val="00CB1B4F"/>
    <w:rsid w:val="00CB2056"/>
    <w:rsid w:val="00CB286E"/>
    <w:rsid w:val="00CB371D"/>
    <w:rsid w:val="00CB44CA"/>
    <w:rsid w:val="00CB4704"/>
    <w:rsid w:val="00CB5001"/>
    <w:rsid w:val="00CB782C"/>
    <w:rsid w:val="00CC08DE"/>
    <w:rsid w:val="00CC0CD9"/>
    <w:rsid w:val="00CC22B3"/>
    <w:rsid w:val="00CC3868"/>
    <w:rsid w:val="00CC6227"/>
    <w:rsid w:val="00CC624B"/>
    <w:rsid w:val="00CC664A"/>
    <w:rsid w:val="00CC6B84"/>
    <w:rsid w:val="00CC78E5"/>
    <w:rsid w:val="00CD1C15"/>
    <w:rsid w:val="00CD29FA"/>
    <w:rsid w:val="00CD4047"/>
    <w:rsid w:val="00CD4A09"/>
    <w:rsid w:val="00CD4FF5"/>
    <w:rsid w:val="00CD5962"/>
    <w:rsid w:val="00CD6D68"/>
    <w:rsid w:val="00CD7422"/>
    <w:rsid w:val="00CD7D72"/>
    <w:rsid w:val="00CD7DF7"/>
    <w:rsid w:val="00CE13C2"/>
    <w:rsid w:val="00CE28DB"/>
    <w:rsid w:val="00CE42A4"/>
    <w:rsid w:val="00CE6990"/>
    <w:rsid w:val="00CE7263"/>
    <w:rsid w:val="00CE72CF"/>
    <w:rsid w:val="00CE79A1"/>
    <w:rsid w:val="00CE79B1"/>
    <w:rsid w:val="00CE7CE0"/>
    <w:rsid w:val="00CF1FDA"/>
    <w:rsid w:val="00CF2A29"/>
    <w:rsid w:val="00CF381A"/>
    <w:rsid w:val="00CF4444"/>
    <w:rsid w:val="00CF4497"/>
    <w:rsid w:val="00CF4625"/>
    <w:rsid w:val="00CF5D14"/>
    <w:rsid w:val="00CF7A07"/>
    <w:rsid w:val="00D00095"/>
    <w:rsid w:val="00D00C17"/>
    <w:rsid w:val="00D00F78"/>
    <w:rsid w:val="00D01061"/>
    <w:rsid w:val="00D01B29"/>
    <w:rsid w:val="00D0265F"/>
    <w:rsid w:val="00D032E4"/>
    <w:rsid w:val="00D034CC"/>
    <w:rsid w:val="00D058C8"/>
    <w:rsid w:val="00D07C3E"/>
    <w:rsid w:val="00D11632"/>
    <w:rsid w:val="00D12A46"/>
    <w:rsid w:val="00D136D5"/>
    <w:rsid w:val="00D13951"/>
    <w:rsid w:val="00D13C58"/>
    <w:rsid w:val="00D14A9F"/>
    <w:rsid w:val="00D14D54"/>
    <w:rsid w:val="00D150BD"/>
    <w:rsid w:val="00D166BA"/>
    <w:rsid w:val="00D16C95"/>
    <w:rsid w:val="00D1736D"/>
    <w:rsid w:val="00D178D0"/>
    <w:rsid w:val="00D2075B"/>
    <w:rsid w:val="00D22430"/>
    <w:rsid w:val="00D240C8"/>
    <w:rsid w:val="00D25977"/>
    <w:rsid w:val="00D2600E"/>
    <w:rsid w:val="00D3037A"/>
    <w:rsid w:val="00D40040"/>
    <w:rsid w:val="00D44F86"/>
    <w:rsid w:val="00D455DC"/>
    <w:rsid w:val="00D4641A"/>
    <w:rsid w:val="00D47524"/>
    <w:rsid w:val="00D47AE7"/>
    <w:rsid w:val="00D55B71"/>
    <w:rsid w:val="00D56072"/>
    <w:rsid w:val="00D56E20"/>
    <w:rsid w:val="00D57587"/>
    <w:rsid w:val="00D5761A"/>
    <w:rsid w:val="00D609C9"/>
    <w:rsid w:val="00D60A84"/>
    <w:rsid w:val="00D627E7"/>
    <w:rsid w:val="00D62A7A"/>
    <w:rsid w:val="00D62D99"/>
    <w:rsid w:val="00D6440F"/>
    <w:rsid w:val="00D66042"/>
    <w:rsid w:val="00D672E2"/>
    <w:rsid w:val="00D67E85"/>
    <w:rsid w:val="00D71100"/>
    <w:rsid w:val="00D72123"/>
    <w:rsid w:val="00D72C51"/>
    <w:rsid w:val="00D73A15"/>
    <w:rsid w:val="00D742CE"/>
    <w:rsid w:val="00D76C28"/>
    <w:rsid w:val="00D76FE9"/>
    <w:rsid w:val="00D77EFB"/>
    <w:rsid w:val="00D813B1"/>
    <w:rsid w:val="00D8176C"/>
    <w:rsid w:val="00D8266D"/>
    <w:rsid w:val="00D82784"/>
    <w:rsid w:val="00D83A9D"/>
    <w:rsid w:val="00D83C6E"/>
    <w:rsid w:val="00D84B29"/>
    <w:rsid w:val="00D85413"/>
    <w:rsid w:val="00D855E8"/>
    <w:rsid w:val="00D859FE"/>
    <w:rsid w:val="00D924CA"/>
    <w:rsid w:val="00D94166"/>
    <w:rsid w:val="00D958EE"/>
    <w:rsid w:val="00D965FD"/>
    <w:rsid w:val="00D9687A"/>
    <w:rsid w:val="00D96911"/>
    <w:rsid w:val="00DA0FDA"/>
    <w:rsid w:val="00DA153F"/>
    <w:rsid w:val="00DA3133"/>
    <w:rsid w:val="00DA4E7F"/>
    <w:rsid w:val="00DA6FBF"/>
    <w:rsid w:val="00DB0F5F"/>
    <w:rsid w:val="00DB1B5D"/>
    <w:rsid w:val="00DB2025"/>
    <w:rsid w:val="00DB204C"/>
    <w:rsid w:val="00DB2567"/>
    <w:rsid w:val="00DB38CF"/>
    <w:rsid w:val="00DB4496"/>
    <w:rsid w:val="00DB4712"/>
    <w:rsid w:val="00DB4B6A"/>
    <w:rsid w:val="00DB4FC3"/>
    <w:rsid w:val="00DB640B"/>
    <w:rsid w:val="00DB6C2B"/>
    <w:rsid w:val="00DB7875"/>
    <w:rsid w:val="00DC0169"/>
    <w:rsid w:val="00DC017C"/>
    <w:rsid w:val="00DC0818"/>
    <w:rsid w:val="00DC1572"/>
    <w:rsid w:val="00DC229D"/>
    <w:rsid w:val="00DC3A59"/>
    <w:rsid w:val="00DC5308"/>
    <w:rsid w:val="00DC5C29"/>
    <w:rsid w:val="00DD165B"/>
    <w:rsid w:val="00DD1BD3"/>
    <w:rsid w:val="00DD26F8"/>
    <w:rsid w:val="00DD28D0"/>
    <w:rsid w:val="00DD3090"/>
    <w:rsid w:val="00DD3572"/>
    <w:rsid w:val="00DD4C52"/>
    <w:rsid w:val="00DD5348"/>
    <w:rsid w:val="00DD6B94"/>
    <w:rsid w:val="00DD70AC"/>
    <w:rsid w:val="00DE2931"/>
    <w:rsid w:val="00DE2B0C"/>
    <w:rsid w:val="00DE3673"/>
    <w:rsid w:val="00DE43BB"/>
    <w:rsid w:val="00DE5485"/>
    <w:rsid w:val="00DF02B8"/>
    <w:rsid w:val="00DF06AF"/>
    <w:rsid w:val="00DF3B6D"/>
    <w:rsid w:val="00DF4943"/>
    <w:rsid w:val="00DF4D94"/>
    <w:rsid w:val="00DF5740"/>
    <w:rsid w:val="00DF61C6"/>
    <w:rsid w:val="00DF74FF"/>
    <w:rsid w:val="00E02F6E"/>
    <w:rsid w:val="00E04330"/>
    <w:rsid w:val="00E04B95"/>
    <w:rsid w:val="00E06C16"/>
    <w:rsid w:val="00E07188"/>
    <w:rsid w:val="00E073FF"/>
    <w:rsid w:val="00E076C8"/>
    <w:rsid w:val="00E1072B"/>
    <w:rsid w:val="00E10752"/>
    <w:rsid w:val="00E12628"/>
    <w:rsid w:val="00E1305F"/>
    <w:rsid w:val="00E13BBB"/>
    <w:rsid w:val="00E144D3"/>
    <w:rsid w:val="00E14DCF"/>
    <w:rsid w:val="00E1745F"/>
    <w:rsid w:val="00E306CD"/>
    <w:rsid w:val="00E30822"/>
    <w:rsid w:val="00E34EEB"/>
    <w:rsid w:val="00E35194"/>
    <w:rsid w:val="00E36E36"/>
    <w:rsid w:val="00E37C95"/>
    <w:rsid w:val="00E40C90"/>
    <w:rsid w:val="00E41BFD"/>
    <w:rsid w:val="00E43430"/>
    <w:rsid w:val="00E456FC"/>
    <w:rsid w:val="00E47AB9"/>
    <w:rsid w:val="00E50DF4"/>
    <w:rsid w:val="00E512A7"/>
    <w:rsid w:val="00E516B2"/>
    <w:rsid w:val="00E52485"/>
    <w:rsid w:val="00E52677"/>
    <w:rsid w:val="00E52E1C"/>
    <w:rsid w:val="00E537C2"/>
    <w:rsid w:val="00E545AE"/>
    <w:rsid w:val="00E55947"/>
    <w:rsid w:val="00E55C55"/>
    <w:rsid w:val="00E57079"/>
    <w:rsid w:val="00E606C0"/>
    <w:rsid w:val="00E607B9"/>
    <w:rsid w:val="00E616E6"/>
    <w:rsid w:val="00E622B3"/>
    <w:rsid w:val="00E63464"/>
    <w:rsid w:val="00E63A4A"/>
    <w:rsid w:val="00E6599A"/>
    <w:rsid w:val="00E659BC"/>
    <w:rsid w:val="00E65B25"/>
    <w:rsid w:val="00E660DF"/>
    <w:rsid w:val="00E66245"/>
    <w:rsid w:val="00E6663A"/>
    <w:rsid w:val="00E66695"/>
    <w:rsid w:val="00E67C2A"/>
    <w:rsid w:val="00E700F9"/>
    <w:rsid w:val="00E71BE0"/>
    <w:rsid w:val="00E75F06"/>
    <w:rsid w:val="00E76237"/>
    <w:rsid w:val="00E8036E"/>
    <w:rsid w:val="00E81C09"/>
    <w:rsid w:val="00E82F24"/>
    <w:rsid w:val="00E830AD"/>
    <w:rsid w:val="00E830E3"/>
    <w:rsid w:val="00E83B9F"/>
    <w:rsid w:val="00E86426"/>
    <w:rsid w:val="00E87C79"/>
    <w:rsid w:val="00E87CB6"/>
    <w:rsid w:val="00E9215F"/>
    <w:rsid w:val="00E927C9"/>
    <w:rsid w:val="00E92D0F"/>
    <w:rsid w:val="00E92F8A"/>
    <w:rsid w:val="00E95E78"/>
    <w:rsid w:val="00E9648C"/>
    <w:rsid w:val="00E96E1B"/>
    <w:rsid w:val="00E97411"/>
    <w:rsid w:val="00E97D96"/>
    <w:rsid w:val="00EA006F"/>
    <w:rsid w:val="00EA05E3"/>
    <w:rsid w:val="00EA1222"/>
    <w:rsid w:val="00EA1940"/>
    <w:rsid w:val="00EA322A"/>
    <w:rsid w:val="00EA47B4"/>
    <w:rsid w:val="00EA5640"/>
    <w:rsid w:val="00EA5A7F"/>
    <w:rsid w:val="00EB0314"/>
    <w:rsid w:val="00EB0501"/>
    <w:rsid w:val="00EB0718"/>
    <w:rsid w:val="00EB0A71"/>
    <w:rsid w:val="00EB235C"/>
    <w:rsid w:val="00EB2C7E"/>
    <w:rsid w:val="00EB3052"/>
    <w:rsid w:val="00EB31BF"/>
    <w:rsid w:val="00EB37E6"/>
    <w:rsid w:val="00EB53A1"/>
    <w:rsid w:val="00EB6A8E"/>
    <w:rsid w:val="00EB7BEB"/>
    <w:rsid w:val="00EC3812"/>
    <w:rsid w:val="00EC3BF9"/>
    <w:rsid w:val="00EC64CC"/>
    <w:rsid w:val="00EC66EF"/>
    <w:rsid w:val="00EC69AC"/>
    <w:rsid w:val="00EC6E9F"/>
    <w:rsid w:val="00ED0AEF"/>
    <w:rsid w:val="00ED21F4"/>
    <w:rsid w:val="00ED242F"/>
    <w:rsid w:val="00ED3088"/>
    <w:rsid w:val="00ED34C7"/>
    <w:rsid w:val="00ED45F8"/>
    <w:rsid w:val="00ED49DD"/>
    <w:rsid w:val="00ED5A35"/>
    <w:rsid w:val="00ED7594"/>
    <w:rsid w:val="00ED79AD"/>
    <w:rsid w:val="00EE31D3"/>
    <w:rsid w:val="00EE3284"/>
    <w:rsid w:val="00EE366C"/>
    <w:rsid w:val="00EE4F8E"/>
    <w:rsid w:val="00EE4F97"/>
    <w:rsid w:val="00EE5E03"/>
    <w:rsid w:val="00EE69AB"/>
    <w:rsid w:val="00EE7C24"/>
    <w:rsid w:val="00EF1035"/>
    <w:rsid w:val="00EF15E3"/>
    <w:rsid w:val="00EF1CB7"/>
    <w:rsid w:val="00EF20A6"/>
    <w:rsid w:val="00EF29BF"/>
    <w:rsid w:val="00EF655E"/>
    <w:rsid w:val="00EF7157"/>
    <w:rsid w:val="00F00FF4"/>
    <w:rsid w:val="00F0178C"/>
    <w:rsid w:val="00F03E25"/>
    <w:rsid w:val="00F050FE"/>
    <w:rsid w:val="00F058EA"/>
    <w:rsid w:val="00F05C84"/>
    <w:rsid w:val="00F05CC1"/>
    <w:rsid w:val="00F06C9C"/>
    <w:rsid w:val="00F0737C"/>
    <w:rsid w:val="00F110CA"/>
    <w:rsid w:val="00F11F12"/>
    <w:rsid w:val="00F13FD8"/>
    <w:rsid w:val="00F140B9"/>
    <w:rsid w:val="00F146B1"/>
    <w:rsid w:val="00F14EA5"/>
    <w:rsid w:val="00F15A84"/>
    <w:rsid w:val="00F15E0C"/>
    <w:rsid w:val="00F229E6"/>
    <w:rsid w:val="00F237CF"/>
    <w:rsid w:val="00F23B98"/>
    <w:rsid w:val="00F249C3"/>
    <w:rsid w:val="00F24C66"/>
    <w:rsid w:val="00F2665E"/>
    <w:rsid w:val="00F272A3"/>
    <w:rsid w:val="00F325FD"/>
    <w:rsid w:val="00F32A8A"/>
    <w:rsid w:val="00F33212"/>
    <w:rsid w:val="00F34986"/>
    <w:rsid w:val="00F35531"/>
    <w:rsid w:val="00F366D1"/>
    <w:rsid w:val="00F4035C"/>
    <w:rsid w:val="00F40C88"/>
    <w:rsid w:val="00F40E92"/>
    <w:rsid w:val="00F4183E"/>
    <w:rsid w:val="00F43222"/>
    <w:rsid w:val="00F43CDA"/>
    <w:rsid w:val="00F43D06"/>
    <w:rsid w:val="00F43E88"/>
    <w:rsid w:val="00F445B8"/>
    <w:rsid w:val="00F447F8"/>
    <w:rsid w:val="00F47D59"/>
    <w:rsid w:val="00F504DA"/>
    <w:rsid w:val="00F50853"/>
    <w:rsid w:val="00F5478E"/>
    <w:rsid w:val="00F561EC"/>
    <w:rsid w:val="00F57BFA"/>
    <w:rsid w:val="00F60BC2"/>
    <w:rsid w:val="00F60C9F"/>
    <w:rsid w:val="00F60EC6"/>
    <w:rsid w:val="00F61644"/>
    <w:rsid w:val="00F617F3"/>
    <w:rsid w:val="00F61A16"/>
    <w:rsid w:val="00F62023"/>
    <w:rsid w:val="00F63109"/>
    <w:rsid w:val="00F636AC"/>
    <w:rsid w:val="00F638D7"/>
    <w:rsid w:val="00F6396C"/>
    <w:rsid w:val="00F63FF6"/>
    <w:rsid w:val="00F6521D"/>
    <w:rsid w:val="00F65383"/>
    <w:rsid w:val="00F664E0"/>
    <w:rsid w:val="00F66CBD"/>
    <w:rsid w:val="00F6718A"/>
    <w:rsid w:val="00F710E8"/>
    <w:rsid w:val="00F72B63"/>
    <w:rsid w:val="00F74FC6"/>
    <w:rsid w:val="00F76466"/>
    <w:rsid w:val="00F7721F"/>
    <w:rsid w:val="00F7773B"/>
    <w:rsid w:val="00F826EE"/>
    <w:rsid w:val="00F838E9"/>
    <w:rsid w:val="00F841C3"/>
    <w:rsid w:val="00F842A7"/>
    <w:rsid w:val="00F8476D"/>
    <w:rsid w:val="00F853F4"/>
    <w:rsid w:val="00F90996"/>
    <w:rsid w:val="00F9304B"/>
    <w:rsid w:val="00F93086"/>
    <w:rsid w:val="00F9308F"/>
    <w:rsid w:val="00F94324"/>
    <w:rsid w:val="00F947B2"/>
    <w:rsid w:val="00F97FED"/>
    <w:rsid w:val="00FA0812"/>
    <w:rsid w:val="00FA1FA5"/>
    <w:rsid w:val="00FA30F7"/>
    <w:rsid w:val="00FA3453"/>
    <w:rsid w:val="00FA3479"/>
    <w:rsid w:val="00FA491B"/>
    <w:rsid w:val="00FA4FA8"/>
    <w:rsid w:val="00FB19B0"/>
    <w:rsid w:val="00FB1FA0"/>
    <w:rsid w:val="00FB23FD"/>
    <w:rsid w:val="00FB256B"/>
    <w:rsid w:val="00FB3E17"/>
    <w:rsid w:val="00FB460F"/>
    <w:rsid w:val="00FB5D5F"/>
    <w:rsid w:val="00FB7E30"/>
    <w:rsid w:val="00FC0D96"/>
    <w:rsid w:val="00FC17F3"/>
    <w:rsid w:val="00FC2023"/>
    <w:rsid w:val="00FC3731"/>
    <w:rsid w:val="00FC3C1E"/>
    <w:rsid w:val="00FC3FFC"/>
    <w:rsid w:val="00FC4FE8"/>
    <w:rsid w:val="00FC5152"/>
    <w:rsid w:val="00FC618A"/>
    <w:rsid w:val="00FD181E"/>
    <w:rsid w:val="00FD3803"/>
    <w:rsid w:val="00FD59B2"/>
    <w:rsid w:val="00FD65B5"/>
    <w:rsid w:val="00FE1468"/>
    <w:rsid w:val="00FE159F"/>
    <w:rsid w:val="00FE1B4B"/>
    <w:rsid w:val="00FE29B5"/>
    <w:rsid w:val="00FE315A"/>
    <w:rsid w:val="00FE49D0"/>
    <w:rsid w:val="00FE543A"/>
    <w:rsid w:val="00FE73F0"/>
    <w:rsid w:val="00FE7DB0"/>
    <w:rsid w:val="00FF1FA3"/>
    <w:rsid w:val="00FF209C"/>
    <w:rsid w:val="00FF252E"/>
    <w:rsid w:val="00FF4D04"/>
    <w:rsid w:val="00FF51F2"/>
    <w:rsid w:val="00FF56EE"/>
    <w:rsid w:val="00FF59F5"/>
    <w:rsid w:val="00FF6632"/>
    <w:rsid w:val="00FF7068"/>
    <w:rsid w:val="00FF7226"/>
    <w:rsid w:val="00FF7BF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8C6ED67"/>
  <w15:chartTrackingRefBased/>
  <w15:docId w15:val="{C5F4260F-3FAD-4DD9-AE72-948FC279D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66C7"/>
    <w:pPr>
      <w:autoSpaceDE w:val="0"/>
      <w:autoSpaceDN w:val="0"/>
      <w:adjustRightInd w:val="0"/>
      <w:snapToGrid w:val="0"/>
      <w:spacing w:after="120" w:line="240" w:lineRule="auto"/>
      <w:jc w:val="both"/>
    </w:pPr>
    <w:rPr>
      <w:rFonts w:ascii="Times New Roman" w:hAnsi="Times New Roman" w:cs="Times New Roma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9"/>
    <w:qFormat/>
    <w:rsid w:val="00380B12"/>
    <w:pPr>
      <w:keepNext/>
      <w:spacing w:before="120"/>
      <w:outlineLvl w:val="0"/>
    </w:pPr>
    <w:rPr>
      <w:b/>
      <w:bCs/>
      <w:sz w:val="28"/>
      <w:szCs w:val="28"/>
    </w:rPr>
  </w:style>
  <w:style w:type="paragraph" w:styleId="Heading2">
    <w:name w:val="heading 2"/>
    <w:basedOn w:val="Normal"/>
    <w:next w:val="Normal"/>
    <w:link w:val="Heading2Char"/>
    <w:uiPriority w:val="9"/>
    <w:qFormat/>
    <w:rsid w:val="00380B12"/>
    <w:pPr>
      <w:keepNext/>
      <w:spacing w:before="120"/>
      <w:outlineLvl w:val="1"/>
    </w:pPr>
    <w:rPr>
      <w:b/>
      <w:bCs/>
      <w:sz w:val="24"/>
    </w:rPr>
  </w:style>
  <w:style w:type="paragraph" w:styleId="Heading3">
    <w:name w:val="heading 3"/>
    <w:basedOn w:val="Normal"/>
    <w:next w:val="Normal"/>
    <w:link w:val="Heading3Char"/>
    <w:qFormat/>
    <w:rsid w:val="00380B12"/>
    <w:pPr>
      <w:keepNext/>
      <w:numPr>
        <w:ilvl w:val="2"/>
        <w:numId w:val="1"/>
      </w:numPr>
      <w:spacing w:before="120"/>
      <w:outlineLvl w:val="2"/>
    </w:pPr>
    <w:rPr>
      <w:b/>
    </w:rPr>
  </w:style>
  <w:style w:type="paragraph" w:styleId="Heading4">
    <w:name w:val="heading 4"/>
    <w:basedOn w:val="Normal"/>
    <w:next w:val="Normal"/>
    <w:link w:val="Heading4Char"/>
    <w:qFormat/>
    <w:rsid w:val="00380B12"/>
    <w:pPr>
      <w:keepNext/>
      <w:numPr>
        <w:ilvl w:val="3"/>
        <w:numId w:val="1"/>
      </w:numPr>
      <w:spacing w:before="120"/>
      <w:outlineLvl w:val="3"/>
    </w:pPr>
    <w:rPr>
      <w:b/>
      <w:bCs/>
      <w:szCs w:val="28"/>
    </w:rPr>
  </w:style>
  <w:style w:type="paragraph" w:styleId="Heading5">
    <w:name w:val="heading 5"/>
    <w:basedOn w:val="Normal"/>
    <w:next w:val="Normal"/>
    <w:link w:val="Heading5Char"/>
    <w:qFormat/>
    <w:rsid w:val="00380B12"/>
    <w:pPr>
      <w:keepNext/>
      <w:numPr>
        <w:ilvl w:val="4"/>
        <w:numId w:val="1"/>
      </w:numPr>
      <w:spacing w:before="120"/>
      <w:outlineLvl w:val="4"/>
    </w:pPr>
    <w:rPr>
      <w:b/>
      <w:bCs/>
      <w:i/>
      <w:iCs/>
      <w:szCs w:val="26"/>
    </w:rPr>
  </w:style>
  <w:style w:type="paragraph" w:styleId="Heading6">
    <w:name w:val="heading 6"/>
    <w:basedOn w:val="Normal"/>
    <w:next w:val="Normal"/>
    <w:link w:val="Heading6Char"/>
    <w:qFormat/>
    <w:rsid w:val="00380B12"/>
    <w:pPr>
      <w:numPr>
        <w:ilvl w:val="5"/>
        <w:numId w:val="1"/>
      </w:numPr>
      <w:spacing w:before="240" w:after="60"/>
      <w:outlineLvl w:val="5"/>
    </w:pPr>
    <w:rPr>
      <w:b/>
      <w:bCs/>
    </w:rPr>
  </w:style>
  <w:style w:type="paragraph" w:styleId="Heading7">
    <w:name w:val="heading 7"/>
    <w:basedOn w:val="Normal"/>
    <w:next w:val="Normal"/>
    <w:link w:val="Heading7Char"/>
    <w:qFormat/>
    <w:rsid w:val="00380B12"/>
    <w:pPr>
      <w:numPr>
        <w:ilvl w:val="6"/>
        <w:numId w:val="1"/>
      </w:numPr>
      <w:spacing w:before="240" w:after="60"/>
      <w:outlineLvl w:val="6"/>
    </w:pPr>
    <w:rPr>
      <w:sz w:val="24"/>
      <w:szCs w:val="24"/>
    </w:rPr>
  </w:style>
  <w:style w:type="paragraph" w:styleId="Heading8">
    <w:name w:val="heading 8"/>
    <w:basedOn w:val="Normal"/>
    <w:next w:val="Normal"/>
    <w:link w:val="Heading8Char"/>
    <w:qFormat/>
    <w:rsid w:val="00380B12"/>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380B12"/>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80B12"/>
    <w:rPr>
      <w:sz w:val="20"/>
      <w:szCs w:val="20"/>
    </w:rPr>
  </w:style>
  <w:style w:type="character" w:customStyle="1" w:styleId="BodyTextChar">
    <w:name w:val="Body Text Char"/>
    <w:basedOn w:val="DefaultParagraphFont"/>
    <w:link w:val="BodyText"/>
    <w:rsid w:val="00380B12"/>
    <w:rPr>
      <w:rFonts w:ascii="Times New Roman" w:eastAsia="SimSun" w:hAnsi="Times New Roman" w:cs="Times New Roman"/>
      <w:sz w:val="20"/>
      <w:szCs w:val="20"/>
    </w:rPr>
  </w:style>
  <w:style w:type="table" w:styleId="TableGrid">
    <w:name w:val="Table Grid"/>
    <w:basedOn w:val="TableNormal"/>
    <w:uiPriority w:val="59"/>
    <w:qFormat/>
    <w:rsid w:val="00380B12"/>
    <w:pPr>
      <w:widowControl w:val="0"/>
      <w:autoSpaceDE w:val="0"/>
      <w:autoSpaceDN w:val="0"/>
      <w:adjustRightInd w:val="0"/>
      <w:spacing w:after="120" w:line="240" w:lineRule="auto"/>
      <w:jc w:val="both"/>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列出段落,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380B12"/>
    <w:pPr>
      <w:ind w:left="720"/>
      <w:contextualSpacing/>
    </w:pPr>
  </w:style>
  <w:style w:type="character" w:customStyle="1" w:styleId="ListParagraphChar">
    <w:name w:val="List Paragraph Char"/>
    <w:aliases w:val="- Bullets Char,목록 단락 Char,リスト段落 Char,?? ?? Char,????? Char,???? Char,列出段落 Char,Lista1 Char,列出段落1 Char,中等深浅网格 1 - 着色 21 Char,列表段落 Char,¥¡¡¡¡ì¬º¥¹¥È¶ÎÂä Char,ÁÐ³ö¶ÎÂä Char,列表段落1 Char,—ño’i—Ž Char,¥ê¥¹¥È¶ÎÂä Char,Paragrafo elenco Char"/>
    <w:link w:val="ListParagraph"/>
    <w:uiPriority w:val="34"/>
    <w:qFormat/>
    <w:rsid w:val="00380B12"/>
    <w:rPr>
      <w:rFonts w:ascii="Times New Roman" w:eastAsia="SimSun" w:hAnsi="Times New Roman" w:cs="Times New Roman"/>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380B12"/>
    <w:rPr>
      <w:rFonts w:ascii="Times New Roman" w:eastAsia="SimSun" w:hAnsi="Times New Roman" w:cs="Times New Roman"/>
      <w:b/>
      <w:bCs/>
      <w:sz w:val="28"/>
      <w:szCs w:val="28"/>
    </w:rPr>
  </w:style>
  <w:style w:type="character" w:customStyle="1" w:styleId="Heading2Char">
    <w:name w:val="Heading 2 Char"/>
    <w:basedOn w:val="DefaultParagraphFont"/>
    <w:link w:val="Heading2"/>
    <w:rsid w:val="00380B12"/>
    <w:rPr>
      <w:rFonts w:ascii="Times New Roman" w:eastAsia="SimSun" w:hAnsi="Times New Roman" w:cs="Times New Roman"/>
      <w:b/>
      <w:bCs/>
      <w:sz w:val="24"/>
    </w:rPr>
  </w:style>
  <w:style w:type="character" w:customStyle="1" w:styleId="Heading3Char">
    <w:name w:val="Heading 3 Char"/>
    <w:basedOn w:val="DefaultParagraphFont"/>
    <w:link w:val="Heading3"/>
    <w:rsid w:val="00380B12"/>
    <w:rPr>
      <w:rFonts w:ascii="Times New Roman" w:hAnsi="Times New Roman" w:cs="Times New Roman"/>
      <w:b/>
    </w:rPr>
  </w:style>
  <w:style w:type="character" w:customStyle="1" w:styleId="Heading4Char">
    <w:name w:val="Heading 4 Char"/>
    <w:basedOn w:val="DefaultParagraphFont"/>
    <w:link w:val="Heading4"/>
    <w:rsid w:val="00380B12"/>
    <w:rPr>
      <w:rFonts w:ascii="Times New Roman" w:hAnsi="Times New Roman" w:cs="Times New Roman"/>
      <w:b/>
      <w:bCs/>
      <w:szCs w:val="28"/>
    </w:rPr>
  </w:style>
  <w:style w:type="character" w:customStyle="1" w:styleId="Heading5Char">
    <w:name w:val="Heading 5 Char"/>
    <w:basedOn w:val="DefaultParagraphFont"/>
    <w:link w:val="Heading5"/>
    <w:rsid w:val="00380B12"/>
    <w:rPr>
      <w:rFonts w:ascii="Times New Roman" w:hAnsi="Times New Roman" w:cs="Times New Roman"/>
      <w:b/>
      <w:bCs/>
      <w:i/>
      <w:iCs/>
      <w:szCs w:val="26"/>
    </w:rPr>
  </w:style>
  <w:style w:type="character" w:customStyle="1" w:styleId="Heading6Char">
    <w:name w:val="Heading 6 Char"/>
    <w:basedOn w:val="DefaultParagraphFont"/>
    <w:link w:val="Heading6"/>
    <w:rsid w:val="00380B12"/>
    <w:rPr>
      <w:rFonts w:ascii="Times New Roman" w:hAnsi="Times New Roman" w:cs="Times New Roman"/>
      <w:b/>
      <w:bCs/>
    </w:rPr>
  </w:style>
  <w:style w:type="character" w:customStyle="1" w:styleId="Heading7Char">
    <w:name w:val="Heading 7 Char"/>
    <w:basedOn w:val="DefaultParagraphFont"/>
    <w:link w:val="Heading7"/>
    <w:rsid w:val="00380B12"/>
    <w:rPr>
      <w:rFonts w:ascii="Times New Roman" w:hAnsi="Times New Roman" w:cs="Times New Roman"/>
      <w:sz w:val="24"/>
      <w:szCs w:val="24"/>
    </w:rPr>
  </w:style>
  <w:style w:type="character" w:customStyle="1" w:styleId="Heading8Char">
    <w:name w:val="Heading 8 Char"/>
    <w:basedOn w:val="DefaultParagraphFont"/>
    <w:link w:val="Heading8"/>
    <w:rsid w:val="00380B12"/>
    <w:rPr>
      <w:rFonts w:ascii="Times New Roman" w:hAnsi="Times New Roman" w:cs="Times New Roman"/>
      <w:i/>
      <w:iCs/>
      <w:sz w:val="24"/>
      <w:szCs w:val="24"/>
    </w:rPr>
  </w:style>
  <w:style w:type="character" w:customStyle="1" w:styleId="Heading9Char">
    <w:name w:val="Heading 9 Char"/>
    <w:basedOn w:val="DefaultParagraphFont"/>
    <w:link w:val="Heading9"/>
    <w:rsid w:val="00380B12"/>
    <w:rPr>
      <w:rFonts w:ascii="Arial" w:hAnsi="Arial" w:cs="Arial"/>
    </w:rPr>
  </w:style>
  <w:style w:type="paragraph" w:customStyle="1" w:styleId="N1">
    <w:name w:val="N1"/>
    <w:basedOn w:val="Normal"/>
    <w:link w:val="N1Char"/>
    <w:qFormat/>
    <w:rsid w:val="00380B12"/>
    <w:pPr>
      <w:autoSpaceDE/>
      <w:autoSpaceDN/>
      <w:adjustRightInd/>
      <w:snapToGrid/>
      <w:spacing w:after="0"/>
      <w:ind w:left="634"/>
      <w:jc w:val="left"/>
    </w:pPr>
    <w:rPr>
      <w:rFonts w:asciiTheme="minorHAnsi" w:eastAsiaTheme="minorEastAsia" w:hAnsiTheme="minorHAnsi" w:cstheme="minorHAnsi"/>
      <w:lang w:eastAsia="ko-KR" w:bidi="hi-IN"/>
    </w:rPr>
  </w:style>
  <w:style w:type="character" w:customStyle="1" w:styleId="N1Char">
    <w:name w:val="N1 Char"/>
    <w:basedOn w:val="DefaultParagraphFont"/>
    <w:link w:val="N1"/>
    <w:rsid w:val="00380B12"/>
    <w:rPr>
      <w:rFonts w:eastAsiaTheme="minorEastAsia" w:cstheme="minorHAnsi"/>
      <w:lang w:eastAsia="ko-KR" w:bidi="hi-IN"/>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条目"/>
    <w:basedOn w:val="Normal"/>
    <w:next w:val="Normal"/>
    <w:link w:val="CaptionChar3"/>
    <w:uiPriority w:val="35"/>
    <w:qFormat/>
    <w:rsid w:val="001D4654"/>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rsid w:val="001D4654"/>
    <w:rPr>
      <w:rFonts w:ascii="Times New Roman" w:eastAsia="SimSun" w:hAnsi="Times New Roman" w:cs="Times New Roman"/>
      <w:b/>
      <w:bCs/>
      <w:kern w:val="2"/>
      <w:sz w:val="20"/>
      <w:szCs w:val="20"/>
      <w:lang w:val="en-GB" w:eastAsia="zh-CN"/>
    </w:rPr>
  </w:style>
  <w:style w:type="table" w:customStyle="1" w:styleId="1">
    <w:name w:val="网格型1"/>
    <w:basedOn w:val="TableNormal"/>
    <w:next w:val="TableGrid"/>
    <w:uiPriority w:val="59"/>
    <w:rsid w:val="00A30E24"/>
    <w:pPr>
      <w:spacing w:after="0" w:line="240" w:lineRule="auto"/>
    </w:pPr>
    <w:rPr>
      <w:rFonts w:ascii="CG Times (WN)" w:eastAsiaTheme="minorEastAsia"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597E69"/>
    <w:rPr>
      <w:rFonts w:ascii="Intel Clear" w:hAnsi="Intel Clear" w:cs="Intel Clear" w:hint="default"/>
      <w:b/>
      <w:bCs/>
      <w:i w:val="0"/>
      <w:iCs w:val="0"/>
      <w:color w:val="FFFFFF"/>
      <w:sz w:val="18"/>
      <w:szCs w:val="18"/>
    </w:rPr>
  </w:style>
  <w:style w:type="character" w:customStyle="1" w:styleId="Heading1Char1">
    <w:name w:val="Heading 1 Char1"/>
    <w:rsid w:val="004B56FF"/>
    <w:rPr>
      <w:rFonts w:ascii="Arial" w:hAnsi="Arial"/>
      <w:sz w:val="36"/>
      <w:lang w:val="en-GB"/>
    </w:rPr>
  </w:style>
  <w:style w:type="paragraph" w:styleId="BalloonText">
    <w:name w:val="Balloon Text"/>
    <w:basedOn w:val="Normal"/>
    <w:link w:val="BalloonTextChar"/>
    <w:uiPriority w:val="99"/>
    <w:semiHidden/>
    <w:unhideWhenUsed/>
    <w:rsid w:val="00ED79A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D79AD"/>
    <w:rPr>
      <w:rFonts w:ascii="Segoe UI" w:eastAsia="SimSun" w:hAnsi="Segoe UI" w:cs="Segoe UI"/>
      <w:sz w:val="18"/>
      <w:szCs w:val="18"/>
    </w:rPr>
  </w:style>
  <w:style w:type="paragraph" w:customStyle="1" w:styleId="3GPPNormalText">
    <w:name w:val="3GPP Normal Text"/>
    <w:basedOn w:val="BodyText"/>
    <w:link w:val="3GPPNormalTextChar"/>
    <w:qFormat/>
    <w:rsid w:val="00DD70AC"/>
    <w:pPr>
      <w:autoSpaceDE/>
      <w:autoSpaceDN/>
      <w:adjustRightInd/>
      <w:snapToGrid/>
      <w:spacing w:after="60"/>
    </w:pPr>
    <w:rPr>
      <w:rFonts w:eastAsia="MS Mincho"/>
      <w:szCs w:val="24"/>
    </w:rPr>
  </w:style>
  <w:style w:type="character" w:customStyle="1" w:styleId="3GPPNormalTextChar">
    <w:name w:val="3GPP Normal Text Char"/>
    <w:link w:val="3GPPNormalText"/>
    <w:rsid w:val="00DD70AC"/>
    <w:rPr>
      <w:rFonts w:ascii="Times New Roman" w:eastAsia="MS Mincho" w:hAnsi="Times New Roman" w:cs="Times New Roman"/>
      <w:sz w:val="20"/>
      <w:szCs w:val="24"/>
    </w:rPr>
  </w:style>
  <w:style w:type="character" w:styleId="CommentReference">
    <w:name w:val="annotation reference"/>
    <w:basedOn w:val="DefaultParagraphFont"/>
    <w:uiPriority w:val="99"/>
    <w:semiHidden/>
    <w:unhideWhenUsed/>
    <w:rsid w:val="00481CA9"/>
    <w:rPr>
      <w:sz w:val="16"/>
      <w:szCs w:val="16"/>
    </w:rPr>
  </w:style>
  <w:style w:type="paragraph" w:styleId="CommentText">
    <w:name w:val="annotation text"/>
    <w:basedOn w:val="Normal"/>
    <w:link w:val="CommentTextChar"/>
    <w:uiPriority w:val="99"/>
    <w:unhideWhenUsed/>
    <w:rsid w:val="00481CA9"/>
    <w:rPr>
      <w:sz w:val="20"/>
      <w:szCs w:val="20"/>
    </w:rPr>
  </w:style>
  <w:style w:type="character" w:customStyle="1" w:styleId="CommentTextChar">
    <w:name w:val="Comment Text Char"/>
    <w:basedOn w:val="DefaultParagraphFont"/>
    <w:link w:val="CommentText"/>
    <w:uiPriority w:val="99"/>
    <w:rsid w:val="00481CA9"/>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81CA9"/>
    <w:rPr>
      <w:b/>
      <w:bCs/>
    </w:rPr>
  </w:style>
  <w:style w:type="character" w:customStyle="1" w:styleId="CommentSubjectChar">
    <w:name w:val="Comment Subject Char"/>
    <w:basedOn w:val="CommentTextChar"/>
    <w:link w:val="CommentSubject"/>
    <w:uiPriority w:val="99"/>
    <w:semiHidden/>
    <w:rsid w:val="00481CA9"/>
    <w:rPr>
      <w:rFonts w:ascii="Times New Roman" w:eastAsia="SimSun" w:hAnsi="Times New Roman" w:cs="Times New Roman"/>
      <w:b/>
      <w:bCs/>
      <w:sz w:val="20"/>
      <w:szCs w:val="20"/>
    </w:rPr>
  </w:style>
  <w:style w:type="paragraph" w:styleId="Header">
    <w:name w:val="header"/>
    <w:basedOn w:val="Normal"/>
    <w:link w:val="HeaderChar"/>
    <w:uiPriority w:val="99"/>
    <w:unhideWhenUsed/>
    <w:rsid w:val="004C0876"/>
    <w:pPr>
      <w:tabs>
        <w:tab w:val="center" w:pos="4680"/>
        <w:tab w:val="right" w:pos="9360"/>
      </w:tabs>
      <w:spacing w:after="0"/>
    </w:pPr>
  </w:style>
  <w:style w:type="character" w:customStyle="1" w:styleId="HeaderChar">
    <w:name w:val="Header Char"/>
    <w:basedOn w:val="DefaultParagraphFont"/>
    <w:link w:val="Header"/>
    <w:uiPriority w:val="99"/>
    <w:rsid w:val="004C0876"/>
    <w:rPr>
      <w:rFonts w:ascii="Times New Roman" w:eastAsia="SimSun" w:hAnsi="Times New Roman" w:cs="Times New Roman"/>
    </w:rPr>
  </w:style>
  <w:style w:type="paragraph" w:styleId="Footer">
    <w:name w:val="footer"/>
    <w:basedOn w:val="Normal"/>
    <w:link w:val="FooterChar"/>
    <w:uiPriority w:val="99"/>
    <w:unhideWhenUsed/>
    <w:rsid w:val="004C0876"/>
    <w:pPr>
      <w:tabs>
        <w:tab w:val="center" w:pos="4680"/>
        <w:tab w:val="right" w:pos="9360"/>
      </w:tabs>
      <w:spacing w:after="0"/>
    </w:pPr>
  </w:style>
  <w:style w:type="character" w:customStyle="1" w:styleId="FooterChar">
    <w:name w:val="Footer Char"/>
    <w:basedOn w:val="DefaultParagraphFont"/>
    <w:link w:val="Footer"/>
    <w:uiPriority w:val="99"/>
    <w:rsid w:val="004C0876"/>
    <w:rPr>
      <w:rFonts w:ascii="Times New Roman" w:eastAsia="SimSun" w:hAnsi="Times New Roman" w:cs="Times New Roman"/>
    </w:rPr>
  </w:style>
  <w:style w:type="character" w:styleId="Hyperlink">
    <w:name w:val="Hyperlink"/>
    <w:uiPriority w:val="99"/>
    <w:unhideWhenUsed/>
    <w:rsid w:val="008A2A8E"/>
    <w:rPr>
      <w:color w:val="0000FF"/>
      <w:u w:val="single"/>
    </w:rPr>
  </w:style>
  <w:style w:type="paragraph" w:customStyle="1" w:styleId="B1">
    <w:name w:val="B1"/>
    <w:basedOn w:val="Normal"/>
    <w:link w:val="B1Zchn"/>
    <w:qFormat/>
    <w:rsid w:val="004E75BE"/>
    <w:pPr>
      <w:autoSpaceDE/>
      <w:autoSpaceDN/>
      <w:adjustRightInd/>
      <w:snapToGrid/>
      <w:spacing w:after="180"/>
      <w:ind w:left="568" w:hanging="284"/>
      <w:jc w:val="left"/>
    </w:pPr>
    <w:rPr>
      <w:rFonts w:eastAsia="Times New Roman"/>
      <w:sz w:val="20"/>
      <w:szCs w:val="20"/>
      <w:lang w:val="x-none"/>
    </w:rPr>
  </w:style>
  <w:style w:type="character" w:customStyle="1" w:styleId="B1Zchn">
    <w:name w:val="B1 Zchn"/>
    <w:link w:val="B1"/>
    <w:qFormat/>
    <w:rsid w:val="004E75BE"/>
    <w:rPr>
      <w:rFonts w:ascii="Times New Roman" w:eastAsia="Times New Roman" w:hAnsi="Times New Roman" w:cs="Times New Roman"/>
      <w:sz w:val="20"/>
      <w:szCs w:val="20"/>
      <w:lang w:val="x-none"/>
    </w:rPr>
  </w:style>
  <w:style w:type="character" w:customStyle="1" w:styleId="normaltextrun">
    <w:name w:val="normaltextrun"/>
    <w:basedOn w:val="DefaultParagraphFont"/>
    <w:rsid w:val="002E6500"/>
  </w:style>
  <w:style w:type="character" w:customStyle="1" w:styleId="eop">
    <w:name w:val="eop"/>
    <w:basedOn w:val="DefaultParagraphFont"/>
    <w:rsid w:val="002E6500"/>
  </w:style>
  <w:style w:type="character" w:customStyle="1" w:styleId="B1Char1">
    <w:name w:val="B1 Char1"/>
    <w:qFormat/>
    <w:rsid w:val="001D4BE1"/>
    <w:rPr>
      <w:rFonts w:ascii="Times New Roman" w:eastAsia="Times New Roman" w:hAnsi="Times New Roman" w:cs="Times New Roman"/>
      <w:sz w:val="20"/>
      <w:szCs w:val="20"/>
      <w:lang w:val="en-GB" w:eastAsia="en-GB"/>
    </w:rPr>
  </w:style>
  <w:style w:type="paragraph" w:customStyle="1" w:styleId="TAH">
    <w:name w:val="TAH"/>
    <w:basedOn w:val="TAC"/>
    <w:link w:val="TAHCar"/>
    <w:qFormat/>
    <w:rsid w:val="00B276B7"/>
    <w:rPr>
      <w:b/>
    </w:rPr>
  </w:style>
  <w:style w:type="paragraph" w:customStyle="1" w:styleId="TAC">
    <w:name w:val="TAC"/>
    <w:basedOn w:val="Normal"/>
    <w:link w:val="TACChar"/>
    <w:qFormat/>
    <w:rsid w:val="00B276B7"/>
    <w:pPr>
      <w:keepNext/>
      <w:keepLines/>
      <w:autoSpaceDE/>
      <w:autoSpaceDN/>
      <w:adjustRightInd/>
      <w:snapToGrid/>
      <w:spacing w:after="0"/>
      <w:jc w:val="center"/>
    </w:pPr>
    <w:rPr>
      <w:rFonts w:ascii="Arial" w:eastAsia="Times New Roman" w:hAnsi="Arial"/>
      <w:sz w:val="18"/>
      <w:szCs w:val="20"/>
      <w:lang w:val="x-none"/>
    </w:rPr>
  </w:style>
  <w:style w:type="paragraph" w:customStyle="1" w:styleId="TH">
    <w:name w:val="TH"/>
    <w:basedOn w:val="Normal"/>
    <w:link w:val="THChar"/>
    <w:qFormat/>
    <w:rsid w:val="00B276B7"/>
    <w:pPr>
      <w:keepNext/>
      <w:keepLines/>
      <w:autoSpaceDE/>
      <w:autoSpaceDN/>
      <w:adjustRightInd/>
      <w:snapToGrid/>
      <w:spacing w:before="60" w:after="180"/>
      <w:jc w:val="center"/>
    </w:pPr>
    <w:rPr>
      <w:rFonts w:ascii="Arial" w:eastAsia="Times New Roman" w:hAnsi="Arial"/>
      <w:b/>
      <w:sz w:val="20"/>
      <w:szCs w:val="20"/>
      <w:lang w:val="x-none"/>
    </w:rPr>
  </w:style>
  <w:style w:type="character" w:customStyle="1" w:styleId="THChar">
    <w:name w:val="TH Char"/>
    <w:link w:val="TH"/>
    <w:qFormat/>
    <w:rsid w:val="00B276B7"/>
    <w:rPr>
      <w:rFonts w:ascii="Arial" w:eastAsia="Times New Roman" w:hAnsi="Arial" w:cs="Times New Roman"/>
      <w:b/>
      <w:sz w:val="20"/>
      <w:szCs w:val="20"/>
      <w:lang w:val="x-none"/>
    </w:rPr>
  </w:style>
  <w:style w:type="character" w:customStyle="1" w:styleId="TACChar">
    <w:name w:val="TAC Char"/>
    <w:link w:val="TAC"/>
    <w:qFormat/>
    <w:locked/>
    <w:rsid w:val="00B276B7"/>
    <w:rPr>
      <w:rFonts w:ascii="Arial" w:eastAsia="Times New Roman" w:hAnsi="Arial" w:cs="Times New Roman"/>
      <w:sz w:val="18"/>
      <w:szCs w:val="20"/>
      <w:lang w:val="x-none"/>
    </w:rPr>
  </w:style>
  <w:style w:type="character" w:customStyle="1" w:styleId="TAHCar">
    <w:name w:val="TAH Car"/>
    <w:link w:val="TAH"/>
    <w:qFormat/>
    <w:rsid w:val="00B276B7"/>
    <w:rPr>
      <w:rFonts w:ascii="Arial" w:eastAsia="Times New Roman" w:hAnsi="Arial" w:cs="Times New Roman"/>
      <w:b/>
      <w:sz w:val="18"/>
      <w:szCs w:val="20"/>
      <w:lang w:val="x-none"/>
    </w:rPr>
  </w:style>
  <w:style w:type="paragraph" w:customStyle="1" w:styleId="B2">
    <w:name w:val="B2"/>
    <w:basedOn w:val="List2"/>
    <w:link w:val="B2Char"/>
    <w:qFormat/>
    <w:rsid w:val="00F03E25"/>
    <w:pPr>
      <w:overflowPunct w:val="0"/>
      <w:snapToGrid/>
      <w:spacing w:after="180"/>
      <w:ind w:left="851" w:hanging="284"/>
      <w:contextualSpacing w:val="0"/>
      <w:jc w:val="left"/>
      <w:textAlignment w:val="baseline"/>
    </w:pPr>
    <w:rPr>
      <w:rFonts w:eastAsia="MS Mincho"/>
      <w:sz w:val="20"/>
      <w:szCs w:val="20"/>
      <w:lang w:val="en-GB"/>
    </w:rPr>
  </w:style>
  <w:style w:type="character" w:customStyle="1" w:styleId="B2Char">
    <w:name w:val="B2 Char"/>
    <w:link w:val="B2"/>
    <w:qFormat/>
    <w:rsid w:val="00F03E25"/>
    <w:rPr>
      <w:rFonts w:ascii="Times New Roman" w:eastAsia="MS Mincho" w:hAnsi="Times New Roman" w:cs="Times New Roman"/>
      <w:sz w:val="20"/>
      <w:szCs w:val="20"/>
      <w:lang w:val="en-GB"/>
    </w:rPr>
  </w:style>
  <w:style w:type="paragraph" w:styleId="List2">
    <w:name w:val="List 2"/>
    <w:basedOn w:val="Normal"/>
    <w:uiPriority w:val="99"/>
    <w:semiHidden/>
    <w:unhideWhenUsed/>
    <w:rsid w:val="00F03E25"/>
    <w:pPr>
      <w:ind w:left="720" w:hanging="360"/>
      <w:contextualSpacing/>
    </w:pPr>
  </w:style>
  <w:style w:type="paragraph" w:customStyle="1" w:styleId="TAN">
    <w:name w:val="TAN"/>
    <w:basedOn w:val="Normal"/>
    <w:link w:val="TANChar"/>
    <w:qFormat/>
    <w:rsid w:val="005A18C6"/>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5A18C6"/>
    <w:rPr>
      <w:rFonts w:ascii="Arial" w:hAnsi="Arial" w:cs="Times New Roman"/>
      <w:sz w:val="18"/>
      <w:szCs w:val="20"/>
      <w:lang w:val="en-GB"/>
    </w:rPr>
  </w:style>
  <w:style w:type="table" w:customStyle="1" w:styleId="TableGrid7">
    <w:name w:val="Table Grid7"/>
    <w:basedOn w:val="TableNormal"/>
    <w:next w:val="TableGrid"/>
    <w:uiPriority w:val="39"/>
    <w:qFormat/>
    <w:rsid w:val="00C60124"/>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basedOn w:val="DefaultParagraphFont"/>
    <w:link w:val="Doc-text2"/>
    <w:locked/>
    <w:rsid w:val="003F718B"/>
    <w:rPr>
      <w:rFonts w:ascii="Arial" w:hAnsi="Arial" w:cs="Arial"/>
    </w:rPr>
  </w:style>
  <w:style w:type="paragraph" w:customStyle="1" w:styleId="Doc-text2">
    <w:name w:val="Doc-text2"/>
    <w:basedOn w:val="Normal"/>
    <w:link w:val="Doc-text2Char"/>
    <w:rsid w:val="003F718B"/>
    <w:pPr>
      <w:autoSpaceDE/>
      <w:autoSpaceDN/>
      <w:adjustRightInd/>
      <w:snapToGrid/>
      <w:spacing w:after="0"/>
      <w:ind w:left="1622" w:hanging="363"/>
      <w:jc w:val="left"/>
    </w:pPr>
    <w:rPr>
      <w:rFonts w:ascii="Arial" w:hAnsi="Arial" w:cs="Arial"/>
    </w:rPr>
  </w:style>
  <w:style w:type="character" w:styleId="IntenseEmphasis">
    <w:name w:val="Intense Emphasis"/>
    <w:basedOn w:val="DefaultParagraphFont"/>
    <w:uiPriority w:val="21"/>
    <w:qFormat/>
    <w:rsid w:val="004166C7"/>
    <w:rPr>
      <w:i/>
      <w:iCs/>
      <w:color w:val="5B9BD5"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392259">
      <w:bodyDiv w:val="1"/>
      <w:marLeft w:val="0"/>
      <w:marRight w:val="0"/>
      <w:marTop w:val="0"/>
      <w:marBottom w:val="0"/>
      <w:divBdr>
        <w:top w:val="none" w:sz="0" w:space="0" w:color="auto"/>
        <w:left w:val="none" w:sz="0" w:space="0" w:color="auto"/>
        <w:bottom w:val="none" w:sz="0" w:space="0" w:color="auto"/>
        <w:right w:val="none" w:sz="0" w:space="0" w:color="auto"/>
      </w:divBdr>
    </w:div>
    <w:div w:id="23216853">
      <w:bodyDiv w:val="1"/>
      <w:marLeft w:val="0"/>
      <w:marRight w:val="0"/>
      <w:marTop w:val="0"/>
      <w:marBottom w:val="0"/>
      <w:divBdr>
        <w:top w:val="none" w:sz="0" w:space="0" w:color="auto"/>
        <w:left w:val="none" w:sz="0" w:space="0" w:color="auto"/>
        <w:bottom w:val="none" w:sz="0" w:space="0" w:color="auto"/>
        <w:right w:val="none" w:sz="0" w:space="0" w:color="auto"/>
      </w:divBdr>
    </w:div>
    <w:div w:id="32075477">
      <w:bodyDiv w:val="1"/>
      <w:marLeft w:val="0"/>
      <w:marRight w:val="0"/>
      <w:marTop w:val="0"/>
      <w:marBottom w:val="0"/>
      <w:divBdr>
        <w:top w:val="none" w:sz="0" w:space="0" w:color="auto"/>
        <w:left w:val="none" w:sz="0" w:space="0" w:color="auto"/>
        <w:bottom w:val="none" w:sz="0" w:space="0" w:color="auto"/>
        <w:right w:val="none" w:sz="0" w:space="0" w:color="auto"/>
      </w:divBdr>
    </w:div>
    <w:div w:id="36662852">
      <w:bodyDiv w:val="1"/>
      <w:marLeft w:val="0"/>
      <w:marRight w:val="0"/>
      <w:marTop w:val="0"/>
      <w:marBottom w:val="0"/>
      <w:divBdr>
        <w:top w:val="none" w:sz="0" w:space="0" w:color="auto"/>
        <w:left w:val="none" w:sz="0" w:space="0" w:color="auto"/>
        <w:bottom w:val="none" w:sz="0" w:space="0" w:color="auto"/>
        <w:right w:val="none" w:sz="0" w:space="0" w:color="auto"/>
      </w:divBdr>
    </w:div>
    <w:div w:id="45110073">
      <w:bodyDiv w:val="1"/>
      <w:marLeft w:val="0"/>
      <w:marRight w:val="0"/>
      <w:marTop w:val="0"/>
      <w:marBottom w:val="0"/>
      <w:divBdr>
        <w:top w:val="none" w:sz="0" w:space="0" w:color="auto"/>
        <w:left w:val="none" w:sz="0" w:space="0" w:color="auto"/>
        <w:bottom w:val="none" w:sz="0" w:space="0" w:color="auto"/>
        <w:right w:val="none" w:sz="0" w:space="0" w:color="auto"/>
      </w:divBdr>
    </w:div>
    <w:div w:id="46534472">
      <w:bodyDiv w:val="1"/>
      <w:marLeft w:val="0"/>
      <w:marRight w:val="0"/>
      <w:marTop w:val="0"/>
      <w:marBottom w:val="0"/>
      <w:divBdr>
        <w:top w:val="none" w:sz="0" w:space="0" w:color="auto"/>
        <w:left w:val="none" w:sz="0" w:space="0" w:color="auto"/>
        <w:bottom w:val="none" w:sz="0" w:space="0" w:color="auto"/>
        <w:right w:val="none" w:sz="0" w:space="0" w:color="auto"/>
      </w:divBdr>
    </w:div>
    <w:div w:id="84108532">
      <w:bodyDiv w:val="1"/>
      <w:marLeft w:val="0"/>
      <w:marRight w:val="0"/>
      <w:marTop w:val="0"/>
      <w:marBottom w:val="0"/>
      <w:divBdr>
        <w:top w:val="none" w:sz="0" w:space="0" w:color="auto"/>
        <w:left w:val="none" w:sz="0" w:space="0" w:color="auto"/>
        <w:bottom w:val="none" w:sz="0" w:space="0" w:color="auto"/>
        <w:right w:val="none" w:sz="0" w:space="0" w:color="auto"/>
      </w:divBdr>
    </w:div>
    <w:div w:id="139269353">
      <w:bodyDiv w:val="1"/>
      <w:marLeft w:val="0"/>
      <w:marRight w:val="0"/>
      <w:marTop w:val="0"/>
      <w:marBottom w:val="0"/>
      <w:divBdr>
        <w:top w:val="none" w:sz="0" w:space="0" w:color="auto"/>
        <w:left w:val="none" w:sz="0" w:space="0" w:color="auto"/>
        <w:bottom w:val="none" w:sz="0" w:space="0" w:color="auto"/>
        <w:right w:val="none" w:sz="0" w:space="0" w:color="auto"/>
      </w:divBdr>
    </w:div>
    <w:div w:id="242298709">
      <w:bodyDiv w:val="1"/>
      <w:marLeft w:val="0"/>
      <w:marRight w:val="0"/>
      <w:marTop w:val="0"/>
      <w:marBottom w:val="0"/>
      <w:divBdr>
        <w:top w:val="none" w:sz="0" w:space="0" w:color="auto"/>
        <w:left w:val="none" w:sz="0" w:space="0" w:color="auto"/>
        <w:bottom w:val="none" w:sz="0" w:space="0" w:color="auto"/>
        <w:right w:val="none" w:sz="0" w:space="0" w:color="auto"/>
      </w:divBdr>
    </w:div>
    <w:div w:id="262031450">
      <w:bodyDiv w:val="1"/>
      <w:marLeft w:val="0"/>
      <w:marRight w:val="0"/>
      <w:marTop w:val="0"/>
      <w:marBottom w:val="0"/>
      <w:divBdr>
        <w:top w:val="none" w:sz="0" w:space="0" w:color="auto"/>
        <w:left w:val="none" w:sz="0" w:space="0" w:color="auto"/>
        <w:bottom w:val="none" w:sz="0" w:space="0" w:color="auto"/>
        <w:right w:val="none" w:sz="0" w:space="0" w:color="auto"/>
      </w:divBdr>
    </w:div>
    <w:div w:id="282006118">
      <w:bodyDiv w:val="1"/>
      <w:marLeft w:val="0"/>
      <w:marRight w:val="0"/>
      <w:marTop w:val="0"/>
      <w:marBottom w:val="0"/>
      <w:divBdr>
        <w:top w:val="none" w:sz="0" w:space="0" w:color="auto"/>
        <w:left w:val="none" w:sz="0" w:space="0" w:color="auto"/>
        <w:bottom w:val="none" w:sz="0" w:space="0" w:color="auto"/>
        <w:right w:val="none" w:sz="0" w:space="0" w:color="auto"/>
      </w:divBdr>
    </w:div>
    <w:div w:id="306127291">
      <w:bodyDiv w:val="1"/>
      <w:marLeft w:val="0"/>
      <w:marRight w:val="0"/>
      <w:marTop w:val="0"/>
      <w:marBottom w:val="0"/>
      <w:divBdr>
        <w:top w:val="none" w:sz="0" w:space="0" w:color="auto"/>
        <w:left w:val="none" w:sz="0" w:space="0" w:color="auto"/>
        <w:bottom w:val="none" w:sz="0" w:space="0" w:color="auto"/>
        <w:right w:val="none" w:sz="0" w:space="0" w:color="auto"/>
      </w:divBdr>
    </w:div>
    <w:div w:id="319771756">
      <w:bodyDiv w:val="1"/>
      <w:marLeft w:val="0"/>
      <w:marRight w:val="0"/>
      <w:marTop w:val="0"/>
      <w:marBottom w:val="0"/>
      <w:divBdr>
        <w:top w:val="none" w:sz="0" w:space="0" w:color="auto"/>
        <w:left w:val="none" w:sz="0" w:space="0" w:color="auto"/>
        <w:bottom w:val="none" w:sz="0" w:space="0" w:color="auto"/>
        <w:right w:val="none" w:sz="0" w:space="0" w:color="auto"/>
      </w:divBdr>
    </w:div>
    <w:div w:id="331224141">
      <w:bodyDiv w:val="1"/>
      <w:marLeft w:val="0"/>
      <w:marRight w:val="0"/>
      <w:marTop w:val="0"/>
      <w:marBottom w:val="0"/>
      <w:divBdr>
        <w:top w:val="none" w:sz="0" w:space="0" w:color="auto"/>
        <w:left w:val="none" w:sz="0" w:space="0" w:color="auto"/>
        <w:bottom w:val="none" w:sz="0" w:space="0" w:color="auto"/>
        <w:right w:val="none" w:sz="0" w:space="0" w:color="auto"/>
      </w:divBdr>
    </w:div>
    <w:div w:id="342517222">
      <w:bodyDiv w:val="1"/>
      <w:marLeft w:val="0"/>
      <w:marRight w:val="0"/>
      <w:marTop w:val="0"/>
      <w:marBottom w:val="0"/>
      <w:divBdr>
        <w:top w:val="none" w:sz="0" w:space="0" w:color="auto"/>
        <w:left w:val="none" w:sz="0" w:space="0" w:color="auto"/>
        <w:bottom w:val="none" w:sz="0" w:space="0" w:color="auto"/>
        <w:right w:val="none" w:sz="0" w:space="0" w:color="auto"/>
      </w:divBdr>
    </w:div>
    <w:div w:id="343213215">
      <w:bodyDiv w:val="1"/>
      <w:marLeft w:val="0"/>
      <w:marRight w:val="0"/>
      <w:marTop w:val="0"/>
      <w:marBottom w:val="0"/>
      <w:divBdr>
        <w:top w:val="none" w:sz="0" w:space="0" w:color="auto"/>
        <w:left w:val="none" w:sz="0" w:space="0" w:color="auto"/>
        <w:bottom w:val="none" w:sz="0" w:space="0" w:color="auto"/>
        <w:right w:val="none" w:sz="0" w:space="0" w:color="auto"/>
      </w:divBdr>
    </w:div>
    <w:div w:id="345714367">
      <w:bodyDiv w:val="1"/>
      <w:marLeft w:val="0"/>
      <w:marRight w:val="0"/>
      <w:marTop w:val="0"/>
      <w:marBottom w:val="0"/>
      <w:divBdr>
        <w:top w:val="none" w:sz="0" w:space="0" w:color="auto"/>
        <w:left w:val="none" w:sz="0" w:space="0" w:color="auto"/>
        <w:bottom w:val="none" w:sz="0" w:space="0" w:color="auto"/>
        <w:right w:val="none" w:sz="0" w:space="0" w:color="auto"/>
      </w:divBdr>
    </w:div>
    <w:div w:id="397672609">
      <w:bodyDiv w:val="1"/>
      <w:marLeft w:val="0"/>
      <w:marRight w:val="0"/>
      <w:marTop w:val="0"/>
      <w:marBottom w:val="0"/>
      <w:divBdr>
        <w:top w:val="none" w:sz="0" w:space="0" w:color="auto"/>
        <w:left w:val="none" w:sz="0" w:space="0" w:color="auto"/>
        <w:bottom w:val="none" w:sz="0" w:space="0" w:color="auto"/>
        <w:right w:val="none" w:sz="0" w:space="0" w:color="auto"/>
      </w:divBdr>
    </w:div>
    <w:div w:id="467095005">
      <w:bodyDiv w:val="1"/>
      <w:marLeft w:val="0"/>
      <w:marRight w:val="0"/>
      <w:marTop w:val="0"/>
      <w:marBottom w:val="0"/>
      <w:divBdr>
        <w:top w:val="none" w:sz="0" w:space="0" w:color="auto"/>
        <w:left w:val="none" w:sz="0" w:space="0" w:color="auto"/>
        <w:bottom w:val="none" w:sz="0" w:space="0" w:color="auto"/>
        <w:right w:val="none" w:sz="0" w:space="0" w:color="auto"/>
      </w:divBdr>
    </w:div>
    <w:div w:id="491868297">
      <w:bodyDiv w:val="1"/>
      <w:marLeft w:val="0"/>
      <w:marRight w:val="0"/>
      <w:marTop w:val="0"/>
      <w:marBottom w:val="0"/>
      <w:divBdr>
        <w:top w:val="none" w:sz="0" w:space="0" w:color="auto"/>
        <w:left w:val="none" w:sz="0" w:space="0" w:color="auto"/>
        <w:bottom w:val="none" w:sz="0" w:space="0" w:color="auto"/>
        <w:right w:val="none" w:sz="0" w:space="0" w:color="auto"/>
      </w:divBdr>
    </w:div>
    <w:div w:id="511071341">
      <w:bodyDiv w:val="1"/>
      <w:marLeft w:val="0"/>
      <w:marRight w:val="0"/>
      <w:marTop w:val="0"/>
      <w:marBottom w:val="0"/>
      <w:divBdr>
        <w:top w:val="none" w:sz="0" w:space="0" w:color="auto"/>
        <w:left w:val="none" w:sz="0" w:space="0" w:color="auto"/>
        <w:bottom w:val="none" w:sz="0" w:space="0" w:color="auto"/>
        <w:right w:val="none" w:sz="0" w:space="0" w:color="auto"/>
      </w:divBdr>
    </w:div>
    <w:div w:id="516849067">
      <w:bodyDiv w:val="1"/>
      <w:marLeft w:val="0"/>
      <w:marRight w:val="0"/>
      <w:marTop w:val="0"/>
      <w:marBottom w:val="0"/>
      <w:divBdr>
        <w:top w:val="none" w:sz="0" w:space="0" w:color="auto"/>
        <w:left w:val="none" w:sz="0" w:space="0" w:color="auto"/>
        <w:bottom w:val="none" w:sz="0" w:space="0" w:color="auto"/>
        <w:right w:val="none" w:sz="0" w:space="0" w:color="auto"/>
      </w:divBdr>
    </w:div>
    <w:div w:id="557711814">
      <w:bodyDiv w:val="1"/>
      <w:marLeft w:val="0"/>
      <w:marRight w:val="0"/>
      <w:marTop w:val="0"/>
      <w:marBottom w:val="0"/>
      <w:divBdr>
        <w:top w:val="none" w:sz="0" w:space="0" w:color="auto"/>
        <w:left w:val="none" w:sz="0" w:space="0" w:color="auto"/>
        <w:bottom w:val="none" w:sz="0" w:space="0" w:color="auto"/>
        <w:right w:val="none" w:sz="0" w:space="0" w:color="auto"/>
      </w:divBdr>
    </w:div>
    <w:div w:id="562065998">
      <w:bodyDiv w:val="1"/>
      <w:marLeft w:val="0"/>
      <w:marRight w:val="0"/>
      <w:marTop w:val="0"/>
      <w:marBottom w:val="0"/>
      <w:divBdr>
        <w:top w:val="none" w:sz="0" w:space="0" w:color="auto"/>
        <w:left w:val="none" w:sz="0" w:space="0" w:color="auto"/>
        <w:bottom w:val="none" w:sz="0" w:space="0" w:color="auto"/>
        <w:right w:val="none" w:sz="0" w:space="0" w:color="auto"/>
      </w:divBdr>
    </w:div>
    <w:div w:id="571353471">
      <w:bodyDiv w:val="1"/>
      <w:marLeft w:val="0"/>
      <w:marRight w:val="0"/>
      <w:marTop w:val="0"/>
      <w:marBottom w:val="0"/>
      <w:divBdr>
        <w:top w:val="none" w:sz="0" w:space="0" w:color="auto"/>
        <w:left w:val="none" w:sz="0" w:space="0" w:color="auto"/>
        <w:bottom w:val="none" w:sz="0" w:space="0" w:color="auto"/>
        <w:right w:val="none" w:sz="0" w:space="0" w:color="auto"/>
      </w:divBdr>
    </w:div>
    <w:div w:id="603920271">
      <w:bodyDiv w:val="1"/>
      <w:marLeft w:val="0"/>
      <w:marRight w:val="0"/>
      <w:marTop w:val="0"/>
      <w:marBottom w:val="0"/>
      <w:divBdr>
        <w:top w:val="none" w:sz="0" w:space="0" w:color="auto"/>
        <w:left w:val="none" w:sz="0" w:space="0" w:color="auto"/>
        <w:bottom w:val="none" w:sz="0" w:space="0" w:color="auto"/>
        <w:right w:val="none" w:sz="0" w:space="0" w:color="auto"/>
      </w:divBdr>
    </w:div>
    <w:div w:id="621110904">
      <w:bodyDiv w:val="1"/>
      <w:marLeft w:val="0"/>
      <w:marRight w:val="0"/>
      <w:marTop w:val="0"/>
      <w:marBottom w:val="0"/>
      <w:divBdr>
        <w:top w:val="none" w:sz="0" w:space="0" w:color="auto"/>
        <w:left w:val="none" w:sz="0" w:space="0" w:color="auto"/>
        <w:bottom w:val="none" w:sz="0" w:space="0" w:color="auto"/>
        <w:right w:val="none" w:sz="0" w:space="0" w:color="auto"/>
      </w:divBdr>
    </w:div>
    <w:div w:id="625818965">
      <w:bodyDiv w:val="1"/>
      <w:marLeft w:val="0"/>
      <w:marRight w:val="0"/>
      <w:marTop w:val="0"/>
      <w:marBottom w:val="0"/>
      <w:divBdr>
        <w:top w:val="none" w:sz="0" w:space="0" w:color="auto"/>
        <w:left w:val="none" w:sz="0" w:space="0" w:color="auto"/>
        <w:bottom w:val="none" w:sz="0" w:space="0" w:color="auto"/>
        <w:right w:val="none" w:sz="0" w:space="0" w:color="auto"/>
      </w:divBdr>
    </w:div>
    <w:div w:id="689798464">
      <w:bodyDiv w:val="1"/>
      <w:marLeft w:val="0"/>
      <w:marRight w:val="0"/>
      <w:marTop w:val="0"/>
      <w:marBottom w:val="0"/>
      <w:divBdr>
        <w:top w:val="none" w:sz="0" w:space="0" w:color="auto"/>
        <w:left w:val="none" w:sz="0" w:space="0" w:color="auto"/>
        <w:bottom w:val="none" w:sz="0" w:space="0" w:color="auto"/>
        <w:right w:val="none" w:sz="0" w:space="0" w:color="auto"/>
      </w:divBdr>
    </w:div>
    <w:div w:id="718282760">
      <w:bodyDiv w:val="1"/>
      <w:marLeft w:val="0"/>
      <w:marRight w:val="0"/>
      <w:marTop w:val="0"/>
      <w:marBottom w:val="0"/>
      <w:divBdr>
        <w:top w:val="none" w:sz="0" w:space="0" w:color="auto"/>
        <w:left w:val="none" w:sz="0" w:space="0" w:color="auto"/>
        <w:bottom w:val="none" w:sz="0" w:space="0" w:color="auto"/>
        <w:right w:val="none" w:sz="0" w:space="0" w:color="auto"/>
      </w:divBdr>
    </w:div>
    <w:div w:id="742916554">
      <w:bodyDiv w:val="1"/>
      <w:marLeft w:val="0"/>
      <w:marRight w:val="0"/>
      <w:marTop w:val="0"/>
      <w:marBottom w:val="0"/>
      <w:divBdr>
        <w:top w:val="none" w:sz="0" w:space="0" w:color="auto"/>
        <w:left w:val="none" w:sz="0" w:space="0" w:color="auto"/>
        <w:bottom w:val="none" w:sz="0" w:space="0" w:color="auto"/>
        <w:right w:val="none" w:sz="0" w:space="0" w:color="auto"/>
      </w:divBdr>
    </w:div>
    <w:div w:id="757360637">
      <w:bodyDiv w:val="1"/>
      <w:marLeft w:val="0"/>
      <w:marRight w:val="0"/>
      <w:marTop w:val="0"/>
      <w:marBottom w:val="0"/>
      <w:divBdr>
        <w:top w:val="none" w:sz="0" w:space="0" w:color="auto"/>
        <w:left w:val="none" w:sz="0" w:space="0" w:color="auto"/>
        <w:bottom w:val="none" w:sz="0" w:space="0" w:color="auto"/>
        <w:right w:val="none" w:sz="0" w:space="0" w:color="auto"/>
      </w:divBdr>
    </w:div>
    <w:div w:id="764033937">
      <w:bodyDiv w:val="1"/>
      <w:marLeft w:val="0"/>
      <w:marRight w:val="0"/>
      <w:marTop w:val="0"/>
      <w:marBottom w:val="0"/>
      <w:divBdr>
        <w:top w:val="none" w:sz="0" w:space="0" w:color="auto"/>
        <w:left w:val="none" w:sz="0" w:space="0" w:color="auto"/>
        <w:bottom w:val="none" w:sz="0" w:space="0" w:color="auto"/>
        <w:right w:val="none" w:sz="0" w:space="0" w:color="auto"/>
      </w:divBdr>
    </w:div>
    <w:div w:id="775825991">
      <w:bodyDiv w:val="1"/>
      <w:marLeft w:val="0"/>
      <w:marRight w:val="0"/>
      <w:marTop w:val="0"/>
      <w:marBottom w:val="0"/>
      <w:divBdr>
        <w:top w:val="none" w:sz="0" w:space="0" w:color="auto"/>
        <w:left w:val="none" w:sz="0" w:space="0" w:color="auto"/>
        <w:bottom w:val="none" w:sz="0" w:space="0" w:color="auto"/>
        <w:right w:val="none" w:sz="0" w:space="0" w:color="auto"/>
      </w:divBdr>
    </w:div>
    <w:div w:id="779841684">
      <w:bodyDiv w:val="1"/>
      <w:marLeft w:val="0"/>
      <w:marRight w:val="0"/>
      <w:marTop w:val="0"/>
      <w:marBottom w:val="0"/>
      <w:divBdr>
        <w:top w:val="none" w:sz="0" w:space="0" w:color="auto"/>
        <w:left w:val="none" w:sz="0" w:space="0" w:color="auto"/>
        <w:bottom w:val="none" w:sz="0" w:space="0" w:color="auto"/>
        <w:right w:val="none" w:sz="0" w:space="0" w:color="auto"/>
      </w:divBdr>
    </w:div>
    <w:div w:id="792602235">
      <w:bodyDiv w:val="1"/>
      <w:marLeft w:val="0"/>
      <w:marRight w:val="0"/>
      <w:marTop w:val="0"/>
      <w:marBottom w:val="0"/>
      <w:divBdr>
        <w:top w:val="none" w:sz="0" w:space="0" w:color="auto"/>
        <w:left w:val="none" w:sz="0" w:space="0" w:color="auto"/>
        <w:bottom w:val="none" w:sz="0" w:space="0" w:color="auto"/>
        <w:right w:val="none" w:sz="0" w:space="0" w:color="auto"/>
      </w:divBdr>
    </w:div>
    <w:div w:id="843589431">
      <w:bodyDiv w:val="1"/>
      <w:marLeft w:val="0"/>
      <w:marRight w:val="0"/>
      <w:marTop w:val="0"/>
      <w:marBottom w:val="0"/>
      <w:divBdr>
        <w:top w:val="none" w:sz="0" w:space="0" w:color="auto"/>
        <w:left w:val="none" w:sz="0" w:space="0" w:color="auto"/>
        <w:bottom w:val="none" w:sz="0" w:space="0" w:color="auto"/>
        <w:right w:val="none" w:sz="0" w:space="0" w:color="auto"/>
      </w:divBdr>
    </w:div>
    <w:div w:id="848107975">
      <w:bodyDiv w:val="1"/>
      <w:marLeft w:val="0"/>
      <w:marRight w:val="0"/>
      <w:marTop w:val="0"/>
      <w:marBottom w:val="0"/>
      <w:divBdr>
        <w:top w:val="none" w:sz="0" w:space="0" w:color="auto"/>
        <w:left w:val="none" w:sz="0" w:space="0" w:color="auto"/>
        <w:bottom w:val="none" w:sz="0" w:space="0" w:color="auto"/>
        <w:right w:val="none" w:sz="0" w:space="0" w:color="auto"/>
      </w:divBdr>
    </w:div>
    <w:div w:id="901719791">
      <w:bodyDiv w:val="1"/>
      <w:marLeft w:val="0"/>
      <w:marRight w:val="0"/>
      <w:marTop w:val="0"/>
      <w:marBottom w:val="0"/>
      <w:divBdr>
        <w:top w:val="none" w:sz="0" w:space="0" w:color="auto"/>
        <w:left w:val="none" w:sz="0" w:space="0" w:color="auto"/>
        <w:bottom w:val="none" w:sz="0" w:space="0" w:color="auto"/>
        <w:right w:val="none" w:sz="0" w:space="0" w:color="auto"/>
      </w:divBdr>
    </w:div>
    <w:div w:id="903100308">
      <w:bodyDiv w:val="1"/>
      <w:marLeft w:val="0"/>
      <w:marRight w:val="0"/>
      <w:marTop w:val="0"/>
      <w:marBottom w:val="0"/>
      <w:divBdr>
        <w:top w:val="none" w:sz="0" w:space="0" w:color="auto"/>
        <w:left w:val="none" w:sz="0" w:space="0" w:color="auto"/>
        <w:bottom w:val="none" w:sz="0" w:space="0" w:color="auto"/>
        <w:right w:val="none" w:sz="0" w:space="0" w:color="auto"/>
      </w:divBdr>
    </w:div>
    <w:div w:id="934096482">
      <w:bodyDiv w:val="1"/>
      <w:marLeft w:val="0"/>
      <w:marRight w:val="0"/>
      <w:marTop w:val="0"/>
      <w:marBottom w:val="0"/>
      <w:divBdr>
        <w:top w:val="none" w:sz="0" w:space="0" w:color="auto"/>
        <w:left w:val="none" w:sz="0" w:space="0" w:color="auto"/>
        <w:bottom w:val="none" w:sz="0" w:space="0" w:color="auto"/>
        <w:right w:val="none" w:sz="0" w:space="0" w:color="auto"/>
      </w:divBdr>
    </w:div>
    <w:div w:id="943918706">
      <w:bodyDiv w:val="1"/>
      <w:marLeft w:val="0"/>
      <w:marRight w:val="0"/>
      <w:marTop w:val="0"/>
      <w:marBottom w:val="0"/>
      <w:divBdr>
        <w:top w:val="none" w:sz="0" w:space="0" w:color="auto"/>
        <w:left w:val="none" w:sz="0" w:space="0" w:color="auto"/>
        <w:bottom w:val="none" w:sz="0" w:space="0" w:color="auto"/>
        <w:right w:val="none" w:sz="0" w:space="0" w:color="auto"/>
      </w:divBdr>
    </w:div>
    <w:div w:id="984045159">
      <w:bodyDiv w:val="1"/>
      <w:marLeft w:val="0"/>
      <w:marRight w:val="0"/>
      <w:marTop w:val="0"/>
      <w:marBottom w:val="0"/>
      <w:divBdr>
        <w:top w:val="none" w:sz="0" w:space="0" w:color="auto"/>
        <w:left w:val="none" w:sz="0" w:space="0" w:color="auto"/>
        <w:bottom w:val="none" w:sz="0" w:space="0" w:color="auto"/>
        <w:right w:val="none" w:sz="0" w:space="0" w:color="auto"/>
      </w:divBdr>
    </w:div>
    <w:div w:id="986012762">
      <w:bodyDiv w:val="1"/>
      <w:marLeft w:val="0"/>
      <w:marRight w:val="0"/>
      <w:marTop w:val="0"/>
      <w:marBottom w:val="0"/>
      <w:divBdr>
        <w:top w:val="none" w:sz="0" w:space="0" w:color="auto"/>
        <w:left w:val="none" w:sz="0" w:space="0" w:color="auto"/>
        <w:bottom w:val="none" w:sz="0" w:space="0" w:color="auto"/>
        <w:right w:val="none" w:sz="0" w:space="0" w:color="auto"/>
      </w:divBdr>
    </w:div>
    <w:div w:id="1009941018">
      <w:bodyDiv w:val="1"/>
      <w:marLeft w:val="0"/>
      <w:marRight w:val="0"/>
      <w:marTop w:val="0"/>
      <w:marBottom w:val="0"/>
      <w:divBdr>
        <w:top w:val="none" w:sz="0" w:space="0" w:color="auto"/>
        <w:left w:val="none" w:sz="0" w:space="0" w:color="auto"/>
        <w:bottom w:val="none" w:sz="0" w:space="0" w:color="auto"/>
        <w:right w:val="none" w:sz="0" w:space="0" w:color="auto"/>
      </w:divBdr>
    </w:div>
    <w:div w:id="1022197135">
      <w:bodyDiv w:val="1"/>
      <w:marLeft w:val="0"/>
      <w:marRight w:val="0"/>
      <w:marTop w:val="0"/>
      <w:marBottom w:val="0"/>
      <w:divBdr>
        <w:top w:val="none" w:sz="0" w:space="0" w:color="auto"/>
        <w:left w:val="none" w:sz="0" w:space="0" w:color="auto"/>
        <w:bottom w:val="none" w:sz="0" w:space="0" w:color="auto"/>
        <w:right w:val="none" w:sz="0" w:space="0" w:color="auto"/>
      </w:divBdr>
    </w:div>
    <w:div w:id="1031997477">
      <w:bodyDiv w:val="1"/>
      <w:marLeft w:val="0"/>
      <w:marRight w:val="0"/>
      <w:marTop w:val="0"/>
      <w:marBottom w:val="0"/>
      <w:divBdr>
        <w:top w:val="none" w:sz="0" w:space="0" w:color="auto"/>
        <w:left w:val="none" w:sz="0" w:space="0" w:color="auto"/>
        <w:bottom w:val="none" w:sz="0" w:space="0" w:color="auto"/>
        <w:right w:val="none" w:sz="0" w:space="0" w:color="auto"/>
      </w:divBdr>
    </w:div>
    <w:div w:id="1037776333">
      <w:bodyDiv w:val="1"/>
      <w:marLeft w:val="0"/>
      <w:marRight w:val="0"/>
      <w:marTop w:val="0"/>
      <w:marBottom w:val="0"/>
      <w:divBdr>
        <w:top w:val="none" w:sz="0" w:space="0" w:color="auto"/>
        <w:left w:val="none" w:sz="0" w:space="0" w:color="auto"/>
        <w:bottom w:val="none" w:sz="0" w:space="0" w:color="auto"/>
        <w:right w:val="none" w:sz="0" w:space="0" w:color="auto"/>
      </w:divBdr>
    </w:div>
    <w:div w:id="1084886471">
      <w:bodyDiv w:val="1"/>
      <w:marLeft w:val="0"/>
      <w:marRight w:val="0"/>
      <w:marTop w:val="0"/>
      <w:marBottom w:val="0"/>
      <w:divBdr>
        <w:top w:val="none" w:sz="0" w:space="0" w:color="auto"/>
        <w:left w:val="none" w:sz="0" w:space="0" w:color="auto"/>
        <w:bottom w:val="none" w:sz="0" w:space="0" w:color="auto"/>
        <w:right w:val="none" w:sz="0" w:space="0" w:color="auto"/>
      </w:divBdr>
    </w:div>
    <w:div w:id="1086538160">
      <w:bodyDiv w:val="1"/>
      <w:marLeft w:val="0"/>
      <w:marRight w:val="0"/>
      <w:marTop w:val="0"/>
      <w:marBottom w:val="0"/>
      <w:divBdr>
        <w:top w:val="none" w:sz="0" w:space="0" w:color="auto"/>
        <w:left w:val="none" w:sz="0" w:space="0" w:color="auto"/>
        <w:bottom w:val="none" w:sz="0" w:space="0" w:color="auto"/>
        <w:right w:val="none" w:sz="0" w:space="0" w:color="auto"/>
      </w:divBdr>
    </w:div>
    <w:div w:id="1103109127">
      <w:bodyDiv w:val="1"/>
      <w:marLeft w:val="0"/>
      <w:marRight w:val="0"/>
      <w:marTop w:val="0"/>
      <w:marBottom w:val="0"/>
      <w:divBdr>
        <w:top w:val="none" w:sz="0" w:space="0" w:color="auto"/>
        <w:left w:val="none" w:sz="0" w:space="0" w:color="auto"/>
        <w:bottom w:val="none" w:sz="0" w:space="0" w:color="auto"/>
        <w:right w:val="none" w:sz="0" w:space="0" w:color="auto"/>
      </w:divBdr>
    </w:div>
    <w:div w:id="1107119601">
      <w:bodyDiv w:val="1"/>
      <w:marLeft w:val="0"/>
      <w:marRight w:val="0"/>
      <w:marTop w:val="0"/>
      <w:marBottom w:val="0"/>
      <w:divBdr>
        <w:top w:val="none" w:sz="0" w:space="0" w:color="auto"/>
        <w:left w:val="none" w:sz="0" w:space="0" w:color="auto"/>
        <w:bottom w:val="none" w:sz="0" w:space="0" w:color="auto"/>
        <w:right w:val="none" w:sz="0" w:space="0" w:color="auto"/>
      </w:divBdr>
    </w:div>
    <w:div w:id="1188568453">
      <w:bodyDiv w:val="1"/>
      <w:marLeft w:val="0"/>
      <w:marRight w:val="0"/>
      <w:marTop w:val="0"/>
      <w:marBottom w:val="0"/>
      <w:divBdr>
        <w:top w:val="none" w:sz="0" w:space="0" w:color="auto"/>
        <w:left w:val="none" w:sz="0" w:space="0" w:color="auto"/>
        <w:bottom w:val="none" w:sz="0" w:space="0" w:color="auto"/>
        <w:right w:val="none" w:sz="0" w:space="0" w:color="auto"/>
      </w:divBdr>
    </w:div>
    <w:div w:id="1201553523">
      <w:bodyDiv w:val="1"/>
      <w:marLeft w:val="0"/>
      <w:marRight w:val="0"/>
      <w:marTop w:val="0"/>
      <w:marBottom w:val="0"/>
      <w:divBdr>
        <w:top w:val="none" w:sz="0" w:space="0" w:color="auto"/>
        <w:left w:val="none" w:sz="0" w:space="0" w:color="auto"/>
        <w:bottom w:val="none" w:sz="0" w:space="0" w:color="auto"/>
        <w:right w:val="none" w:sz="0" w:space="0" w:color="auto"/>
      </w:divBdr>
    </w:div>
    <w:div w:id="1230774870">
      <w:bodyDiv w:val="1"/>
      <w:marLeft w:val="0"/>
      <w:marRight w:val="0"/>
      <w:marTop w:val="0"/>
      <w:marBottom w:val="0"/>
      <w:divBdr>
        <w:top w:val="none" w:sz="0" w:space="0" w:color="auto"/>
        <w:left w:val="none" w:sz="0" w:space="0" w:color="auto"/>
        <w:bottom w:val="none" w:sz="0" w:space="0" w:color="auto"/>
        <w:right w:val="none" w:sz="0" w:space="0" w:color="auto"/>
      </w:divBdr>
    </w:div>
    <w:div w:id="1239821817">
      <w:bodyDiv w:val="1"/>
      <w:marLeft w:val="0"/>
      <w:marRight w:val="0"/>
      <w:marTop w:val="0"/>
      <w:marBottom w:val="0"/>
      <w:divBdr>
        <w:top w:val="none" w:sz="0" w:space="0" w:color="auto"/>
        <w:left w:val="none" w:sz="0" w:space="0" w:color="auto"/>
        <w:bottom w:val="none" w:sz="0" w:space="0" w:color="auto"/>
        <w:right w:val="none" w:sz="0" w:space="0" w:color="auto"/>
      </w:divBdr>
    </w:div>
    <w:div w:id="1260021234">
      <w:bodyDiv w:val="1"/>
      <w:marLeft w:val="0"/>
      <w:marRight w:val="0"/>
      <w:marTop w:val="0"/>
      <w:marBottom w:val="0"/>
      <w:divBdr>
        <w:top w:val="none" w:sz="0" w:space="0" w:color="auto"/>
        <w:left w:val="none" w:sz="0" w:space="0" w:color="auto"/>
        <w:bottom w:val="none" w:sz="0" w:space="0" w:color="auto"/>
        <w:right w:val="none" w:sz="0" w:space="0" w:color="auto"/>
      </w:divBdr>
    </w:div>
    <w:div w:id="1269852313">
      <w:bodyDiv w:val="1"/>
      <w:marLeft w:val="0"/>
      <w:marRight w:val="0"/>
      <w:marTop w:val="0"/>
      <w:marBottom w:val="0"/>
      <w:divBdr>
        <w:top w:val="none" w:sz="0" w:space="0" w:color="auto"/>
        <w:left w:val="none" w:sz="0" w:space="0" w:color="auto"/>
        <w:bottom w:val="none" w:sz="0" w:space="0" w:color="auto"/>
        <w:right w:val="none" w:sz="0" w:space="0" w:color="auto"/>
      </w:divBdr>
    </w:div>
    <w:div w:id="1276328784">
      <w:bodyDiv w:val="1"/>
      <w:marLeft w:val="0"/>
      <w:marRight w:val="0"/>
      <w:marTop w:val="0"/>
      <w:marBottom w:val="0"/>
      <w:divBdr>
        <w:top w:val="none" w:sz="0" w:space="0" w:color="auto"/>
        <w:left w:val="none" w:sz="0" w:space="0" w:color="auto"/>
        <w:bottom w:val="none" w:sz="0" w:space="0" w:color="auto"/>
        <w:right w:val="none" w:sz="0" w:space="0" w:color="auto"/>
      </w:divBdr>
    </w:div>
    <w:div w:id="1299842240">
      <w:bodyDiv w:val="1"/>
      <w:marLeft w:val="0"/>
      <w:marRight w:val="0"/>
      <w:marTop w:val="0"/>
      <w:marBottom w:val="0"/>
      <w:divBdr>
        <w:top w:val="none" w:sz="0" w:space="0" w:color="auto"/>
        <w:left w:val="none" w:sz="0" w:space="0" w:color="auto"/>
        <w:bottom w:val="none" w:sz="0" w:space="0" w:color="auto"/>
        <w:right w:val="none" w:sz="0" w:space="0" w:color="auto"/>
      </w:divBdr>
    </w:div>
    <w:div w:id="1309630463">
      <w:bodyDiv w:val="1"/>
      <w:marLeft w:val="0"/>
      <w:marRight w:val="0"/>
      <w:marTop w:val="0"/>
      <w:marBottom w:val="0"/>
      <w:divBdr>
        <w:top w:val="none" w:sz="0" w:space="0" w:color="auto"/>
        <w:left w:val="none" w:sz="0" w:space="0" w:color="auto"/>
        <w:bottom w:val="none" w:sz="0" w:space="0" w:color="auto"/>
        <w:right w:val="none" w:sz="0" w:space="0" w:color="auto"/>
      </w:divBdr>
    </w:div>
    <w:div w:id="1312179297">
      <w:bodyDiv w:val="1"/>
      <w:marLeft w:val="0"/>
      <w:marRight w:val="0"/>
      <w:marTop w:val="0"/>
      <w:marBottom w:val="0"/>
      <w:divBdr>
        <w:top w:val="none" w:sz="0" w:space="0" w:color="auto"/>
        <w:left w:val="none" w:sz="0" w:space="0" w:color="auto"/>
        <w:bottom w:val="none" w:sz="0" w:space="0" w:color="auto"/>
        <w:right w:val="none" w:sz="0" w:space="0" w:color="auto"/>
      </w:divBdr>
    </w:div>
    <w:div w:id="1315259856">
      <w:bodyDiv w:val="1"/>
      <w:marLeft w:val="0"/>
      <w:marRight w:val="0"/>
      <w:marTop w:val="0"/>
      <w:marBottom w:val="0"/>
      <w:divBdr>
        <w:top w:val="none" w:sz="0" w:space="0" w:color="auto"/>
        <w:left w:val="none" w:sz="0" w:space="0" w:color="auto"/>
        <w:bottom w:val="none" w:sz="0" w:space="0" w:color="auto"/>
        <w:right w:val="none" w:sz="0" w:space="0" w:color="auto"/>
      </w:divBdr>
    </w:div>
    <w:div w:id="1326514484">
      <w:bodyDiv w:val="1"/>
      <w:marLeft w:val="0"/>
      <w:marRight w:val="0"/>
      <w:marTop w:val="0"/>
      <w:marBottom w:val="0"/>
      <w:divBdr>
        <w:top w:val="none" w:sz="0" w:space="0" w:color="auto"/>
        <w:left w:val="none" w:sz="0" w:space="0" w:color="auto"/>
        <w:bottom w:val="none" w:sz="0" w:space="0" w:color="auto"/>
        <w:right w:val="none" w:sz="0" w:space="0" w:color="auto"/>
      </w:divBdr>
    </w:div>
    <w:div w:id="1340622221">
      <w:bodyDiv w:val="1"/>
      <w:marLeft w:val="0"/>
      <w:marRight w:val="0"/>
      <w:marTop w:val="0"/>
      <w:marBottom w:val="0"/>
      <w:divBdr>
        <w:top w:val="none" w:sz="0" w:space="0" w:color="auto"/>
        <w:left w:val="none" w:sz="0" w:space="0" w:color="auto"/>
        <w:bottom w:val="none" w:sz="0" w:space="0" w:color="auto"/>
        <w:right w:val="none" w:sz="0" w:space="0" w:color="auto"/>
      </w:divBdr>
    </w:div>
    <w:div w:id="1363169827">
      <w:bodyDiv w:val="1"/>
      <w:marLeft w:val="0"/>
      <w:marRight w:val="0"/>
      <w:marTop w:val="0"/>
      <w:marBottom w:val="0"/>
      <w:divBdr>
        <w:top w:val="none" w:sz="0" w:space="0" w:color="auto"/>
        <w:left w:val="none" w:sz="0" w:space="0" w:color="auto"/>
        <w:bottom w:val="none" w:sz="0" w:space="0" w:color="auto"/>
        <w:right w:val="none" w:sz="0" w:space="0" w:color="auto"/>
      </w:divBdr>
    </w:div>
    <w:div w:id="1385986641">
      <w:bodyDiv w:val="1"/>
      <w:marLeft w:val="0"/>
      <w:marRight w:val="0"/>
      <w:marTop w:val="0"/>
      <w:marBottom w:val="0"/>
      <w:divBdr>
        <w:top w:val="none" w:sz="0" w:space="0" w:color="auto"/>
        <w:left w:val="none" w:sz="0" w:space="0" w:color="auto"/>
        <w:bottom w:val="none" w:sz="0" w:space="0" w:color="auto"/>
        <w:right w:val="none" w:sz="0" w:space="0" w:color="auto"/>
      </w:divBdr>
    </w:div>
    <w:div w:id="1390692329">
      <w:bodyDiv w:val="1"/>
      <w:marLeft w:val="0"/>
      <w:marRight w:val="0"/>
      <w:marTop w:val="0"/>
      <w:marBottom w:val="0"/>
      <w:divBdr>
        <w:top w:val="none" w:sz="0" w:space="0" w:color="auto"/>
        <w:left w:val="none" w:sz="0" w:space="0" w:color="auto"/>
        <w:bottom w:val="none" w:sz="0" w:space="0" w:color="auto"/>
        <w:right w:val="none" w:sz="0" w:space="0" w:color="auto"/>
      </w:divBdr>
    </w:div>
    <w:div w:id="1391415285">
      <w:bodyDiv w:val="1"/>
      <w:marLeft w:val="0"/>
      <w:marRight w:val="0"/>
      <w:marTop w:val="0"/>
      <w:marBottom w:val="0"/>
      <w:divBdr>
        <w:top w:val="none" w:sz="0" w:space="0" w:color="auto"/>
        <w:left w:val="none" w:sz="0" w:space="0" w:color="auto"/>
        <w:bottom w:val="none" w:sz="0" w:space="0" w:color="auto"/>
        <w:right w:val="none" w:sz="0" w:space="0" w:color="auto"/>
      </w:divBdr>
    </w:div>
    <w:div w:id="1392538129">
      <w:bodyDiv w:val="1"/>
      <w:marLeft w:val="0"/>
      <w:marRight w:val="0"/>
      <w:marTop w:val="0"/>
      <w:marBottom w:val="0"/>
      <w:divBdr>
        <w:top w:val="none" w:sz="0" w:space="0" w:color="auto"/>
        <w:left w:val="none" w:sz="0" w:space="0" w:color="auto"/>
        <w:bottom w:val="none" w:sz="0" w:space="0" w:color="auto"/>
        <w:right w:val="none" w:sz="0" w:space="0" w:color="auto"/>
      </w:divBdr>
    </w:div>
    <w:div w:id="1397557248">
      <w:bodyDiv w:val="1"/>
      <w:marLeft w:val="0"/>
      <w:marRight w:val="0"/>
      <w:marTop w:val="0"/>
      <w:marBottom w:val="0"/>
      <w:divBdr>
        <w:top w:val="none" w:sz="0" w:space="0" w:color="auto"/>
        <w:left w:val="none" w:sz="0" w:space="0" w:color="auto"/>
        <w:bottom w:val="none" w:sz="0" w:space="0" w:color="auto"/>
        <w:right w:val="none" w:sz="0" w:space="0" w:color="auto"/>
      </w:divBdr>
    </w:div>
    <w:div w:id="1440681300">
      <w:bodyDiv w:val="1"/>
      <w:marLeft w:val="0"/>
      <w:marRight w:val="0"/>
      <w:marTop w:val="0"/>
      <w:marBottom w:val="0"/>
      <w:divBdr>
        <w:top w:val="none" w:sz="0" w:space="0" w:color="auto"/>
        <w:left w:val="none" w:sz="0" w:space="0" w:color="auto"/>
        <w:bottom w:val="none" w:sz="0" w:space="0" w:color="auto"/>
        <w:right w:val="none" w:sz="0" w:space="0" w:color="auto"/>
      </w:divBdr>
    </w:div>
    <w:div w:id="1461650394">
      <w:bodyDiv w:val="1"/>
      <w:marLeft w:val="0"/>
      <w:marRight w:val="0"/>
      <w:marTop w:val="0"/>
      <w:marBottom w:val="0"/>
      <w:divBdr>
        <w:top w:val="none" w:sz="0" w:space="0" w:color="auto"/>
        <w:left w:val="none" w:sz="0" w:space="0" w:color="auto"/>
        <w:bottom w:val="none" w:sz="0" w:space="0" w:color="auto"/>
        <w:right w:val="none" w:sz="0" w:space="0" w:color="auto"/>
      </w:divBdr>
    </w:div>
    <w:div w:id="1502356621">
      <w:bodyDiv w:val="1"/>
      <w:marLeft w:val="0"/>
      <w:marRight w:val="0"/>
      <w:marTop w:val="0"/>
      <w:marBottom w:val="0"/>
      <w:divBdr>
        <w:top w:val="none" w:sz="0" w:space="0" w:color="auto"/>
        <w:left w:val="none" w:sz="0" w:space="0" w:color="auto"/>
        <w:bottom w:val="none" w:sz="0" w:space="0" w:color="auto"/>
        <w:right w:val="none" w:sz="0" w:space="0" w:color="auto"/>
      </w:divBdr>
    </w:div>
    <w:div w:id="1516647952">
      <w:bodyDiv w:val="1"/>
      <w:marLeft w:val="0"/>
      <w:marRight w:val="0"/>
      <w:marTop w:val="0"/>
      <w:marBottom w:val="0"/>
      <w:divBdr>
        <w:top w:val="none" w:sz="0" w:space="0" w:color="auto"/>
        <w:left w:val="none" w:sz="0" w:space="0" w:color="auto"/>
        <w:bottom w:val="none" w:sz="0" w:space="0" w:color="auto"/>
        <w:right w:val="none" w:sz="0" w:space="0" w:color="auto"/>
      </w:divBdr>
    </w:div>
    <w:div w:id="1523351469">
      <w:bodyDiv w:val="1"/>
      <w:marLeft w:val="0"/>
      <w:marRight w:val="0"/>
      <w:marTop w:val="0"/>
      <w:marBottom w:val="0"/>
      <w:divBdr>
        <w:top w:val="none" w:sz="0" w:space="0" w:color="auto"/>
        <w:left w:val="none" w:sz="0" w:space="0" w:color="auto"/>
        <w:bottom w:val="none" w:sz="0" w:space="0" w:color="auto"/>
        <w:right w:val="none" w:sz="0" w:space="0" w:color="auto"/>
      </w:divBdr>
    </w:div>
    <w:div w:id="1535388310">
      <w:bodyDiv w:val="1"/>
      <w:marLeft w:val="0"/>
      <w:marRight w:val="0"/>
      <w:marTop w:val="0"/>
      <w:marBottom w:val="0"/>
      <w:divBdr>
        <w:top w:val="none" w:sz="0" w:space="0" w:color="auto"/>
        <w:left w:val="none" w:sz="0" w:space="0" w:color="auto"/>
        <w:bottom w:val="none" w:sz="0" w:space="0" w:color="auto"/>
        <w:right w:val="none" w:sz="0" w:space="0" w:color="auto"/>
      </w:divBdr>
    </w:div>
    <w:div w:id="1561088779">
      <w:bodyDiv w:val="1"/>
      <w:marLeft w:val="0"/>
      <w:marRight w:val="0"/>
      <w:marTop w:val="0"/>
      <w:marBottom w:val="0"/>
      <w:divBdr>
        <w:top w:val="none" w:sz="0" w:space="0" w:color="auto"/>
        <w:left w:val="none" w:sz="0" w:space="0" w:color="auto"/>
        <w:bottom w:val="none" w:sz="0" w:space="0" w:color="auto"/>
        <w:right w:val="none" w:sz="0" w:space="0" w:color="auto"/>
      </w:divBdr>
    </w:div>
    <w:div w:id="1600869573">
      <w:bodyDiv w:val="1"/>
      <w:marLeft w:val="0"/>
      <w:marRight w:val="0"/>
      <w:marTop w:val="0"/>
      <w:marBottom w:val="0"/>
      <w:divBdr>
        <w:top w:val="none" w:sz="0" w:space="0" w:color="auto"/>
        <w:left w:val="none" w:sz="0" w:space="0" w:color="auto"/>
        <w:bottom w:val="none" w:sz="0" w:space="0" w:color="auto"/>
        <w:right w:val="none" w:sz="0" w:space="0" w:color="auto"/>
      </w:divBdr>
    </w:div>
    <w:div w:id="1605071117">
      <w:bodyDiv w:val="1"/>
      <w:marLeft w:val="0"/>
      <w:marRight w:val="0"/>
      <w:marTop w:val="0"/>
      <w:marBottom w:val="0"/>
      <w:divBdr>
        <w:top w:val="none" w:sz="0" w:space="0" w:color="auto"/>
        <w:left w:val="none" w:sz="0" w:space="0" w:color="auto"/>
        <w:bottom w:val="none" w:sz="0" w:space="0" w:color="auto"/>
        <w:right w:val="none" w:sz="0" w:space="0" w:color="auto"/>
      </w:divBdr>
    </w:div>
    <w:div w:id="1607152297">
      <w:bodyDiv w:val="1"/>
      <w:marLeft w:val="0"/>
      <w:marRight w:val="0"/>
      <w:marTop w:val="0"/>
      <w:marBottom w:val="0"/>
      <w:divBdr>
        <w:top w:val="none" w:sz="0" w:space="0" w:color="auto"/>
        <w:left w:val="none" w:sz="0" w:space="0" w:color="auto"/>
        <w:bottom w:val="none" w:sz="0" w:space="0" w:color="auto"/>
        <w:right w:val="none" w:sz="0" w:space="0" w:color="auto"/>
      </w:divBdr>
    </w:div>
    <w:div w:id="1611279325">
      <w:bodyDiv w:val="1"/>
      <w:marLeft w:val="0"/>
      <w:marRight w:val="0"/>
      <w:marTop w:val="0"/>
      <w:marBottom w:val="0"/>
      <w:divBdr>
        <w:top w:val="none" w:sz="0" w:space="0" w:color="auto"/>
        <w:left w:val="none" w:sz="0" w:space="0" w:color="auto"/>
        <w:bottom w:val="none" w:sz="0" w:space="0" w:color="auto"/>
        <w:right w:val="none" w:sz="0" w:space="0" w:color="auto"/>
      </w:divBdr>
    </w:div>
    <w:div w:id="1613592511">
      <w:bodyDiv w:val="1"/>
      <w:marLeft w:val="0"/>
      <w:marRight w:val="0"/>
      <w:marTop w:val="0"/>
      <w:marBottom w:val="0"/>
      <w:divBdr>
        <w:top w:val="none" w:sz="0" w:space="0" w:color="auto"/>
        <w:left w:val="none" w:sz="0" w:space="0" w:color="auto"/>
        <w:bottom w:val="none" w:sz="0" w:space="0" w:color="auto"/>
        <w:right w:val="none" w:sz="0" w:space="0" w:color="auto"/>
      </w:divBdr>
    </w:div>
    <w:div w:id="1617373191">
      <w:bodyDiv w:val="1"/>
      <w:marLeft w:val="0"/>
      <w:marRight w:val="0"/>
      <w:marTop w:val="0"/>
      <w:marBottom w:val="0"/>
      <w:divBdr>
        <w:top w:val="none" w:sz="0" w:space="0" w:color="auto"/>
        <w:left w:val="none" w:sz="0" w:space="0" w:color="auto"/>
        <w:bottom w:val="none" w:sz="0" w:space="0" w:color="auto"/>
        <w:right w:val="none" w:sz="0" w:space="0" w:color="auto"/>
      </w:divBdr>
    </w:div>
    <w:div w:id="1623924751">
      <w:bodyDiv w:val="1"/>
      <w:marLeft w:val="0"/>
      <w:marRight w:val="0"/>
      <w:marTop w:val="0"/>
      <w:marBottom w:val="0"/>
      <w:divBdr>
        <w:top w:val="none" w:sz="0" w:space="0" w:color="auto"/>
        <w:left w:val="none" w:sz="0" w:space="0" w:color="auto"/>
        <w:bottom w:val="none" w:sz="0" w:space="0" w:color="auto"/>
        <w:right w:val="none" w:sz="0" w:space="0" w:color="auto"/>
      </w:divBdr>
    </w:div>
    <w:div w:id="1633173251">
      <w:bodyDiv w:val="1"/>
      <w:marLeft w:val="0"/>
      <w:marRight w:val="0"/>
      <w:marTop w:val="0"/>
      <w:marBottom w:val="0"/>
      <w:divBdr>
        <w:top w:val="none" w:sz="0" w:space="0" w:color="auto"/>
        <w:left w:val="none" w:sz="0" w:space="0" w:color="auto"/>
        <w:bottom w:val="none" w:sz="0" w:space="0" w:color="auto"/>
        <w:right w:val="none" w:sz="0" w:space="0" w:color="auto"/>
      </w:divBdr>
    </w:div>
    <w:div w:id="1633900216">
      <w:bodyDiv w:val="1"/>
      <w:marLeft w:val="0"/>
      <w:marRight w:val="0"/>
      <w:marTop w:val="0"/>
      <w:marBottom w:val="0"/>
      <w:divBdr>
        <w:top w:val="none" w:sz="0" w:space="0" w:color="auto"/>
        <w:left w:val="none" w:sz="0" w:space="0" w:color="auto"/>
        <w:bottom w:val="none" w:sz="0" w:space="0" w:color="auto"/>
        <w:right w:val="none" w:sz="0" w:space="0" w:color="auto"/>
      </w:divBdr>
    </w:div>
    <w:div w:id="1641882943">
      <w:bodyDiv w:val="1"/>
      <w:marLeft w:val="0"/>
      <w:marRight w:val="0"/>
      <w:marTop w:val="0"/>
      <w:marBottom w:val="0"/>
      <w:divBdr>
        <w:top w:val="none" w:sz="0" w:space="0" w:color="auto"/>
        <w:left w:val="none" w:sz="0" w:space="0" w:color="auto"/>
        <w:bottom w:val="none" w:sz="0" w:space="0" w:color="auto"/>
        <w:right w:val="none" w:sz="0" w:space="0" w:color="auto"/>
      </w:divBdr>
    </w:div>
    <w:div w:id="1652446327">
      <w:bodyDiv w:val="1"/>
      <w:marLeft w:val="0"/>
      <w:marRight w:val="0"/>
      <w:marTop w:val="0"/>
      <w:marBottom w:val="0"/>
      <w:divBdr>
        <w:top w:val="none" w:sz="0" w:space="0" w:color="auto"/>
        <w:left w:val="none" w:sz="0" w:space="0" w:color="auto"/>
        <w:bottom w:val="none" w:sz="0" w:space="0" w:color="auto"/>
        <w:right w:val="none" w:sz="0" w:space="0" w:color="auto"/>
      </w:divBdr>
    </w:div>
    <w:div w:id="1654287319">
      <w:bodyDiv w:val="1"/>
      <w:marLeft w:val="0"/>
      <w:marRight w:val="0"/>
      <w:marTop w:val="0"/>
      <w:marBottom w:val="0"/>
      <w:divBdr>
        <w:top w:val="none" w:sz="0" w:space="0" w:color="auto"/>
        <w:left w:val="none" w:sz="0" w:space="0" w:color="auto"/>
        <w:bottom w:val="none" w:sz="0" w:space="0" w:color="auto"/>
        <w:right w:val="none" w:sz="0" w:space="0" w:color="auto"/>
      </w:divBdr>
    </w:div>
    <w:div w:id="1699548024">
      <w:bodyDiv w:val="1"/>
      <w:marLeft w:val="0"/>
      <w:marRight w:val="0"/>
      <w:marTop w:val="0"/>
      <w:marBottom w:val="0"/>
      <w:divBdr>
        <w:top w:val="none" w:sz="0" w:space="0" w:color="auto"/>
        <w:left w:val="none" w:sz="0" w:space="0" w:color="auto"/>
        <w:bottom w:val="none" w:sz="0" w:space="0" w:color="auto"/>
        <w:right w:val="none" w:sz="0" w:space="0" w:color="auto"/>
      </w:divBdr>
    </w:div>
    <w:div w:id="1704089216">
      <w:bodyDiv w:val="1"/>
      <w:marLeft w:val="0"/>
      <w:marRight w:val="0"/>
      <w:marTop w:val="0"/>
      <w:marBottom w:val="0"/>
      <w:divBdr>
        <w:top w:val="none" w:sz="0" w:space="0" w:color="auto"/>
        <w:left w:val="none" w:sz="0" w:space="0" w:color="auto"/>
        <w:bottom w:val="none" w:sz="0" w:space="0" w:color="auto"/>
        <w:right w:val="none" w:sz="0" w:space="0" w:color="auto"/>
      </w:divBdr>
    </w:div>
    <w:div w:id="1742630916">
      <w:bodyDiv w:val="1"/>
      <w:marLeft w:val="0"/>
      <w:marRight w:val="0"/>
      <w:marTop w:val="0"/>
      <w:marBottom w:val="0"/>
      <w:divBdr>
        <w:top w:val="none" w:sz="0" w:space="0" w:color="auto"/>
        <w:left w:val="none" w:sz="0" w:space="0" w:color="auto"/>
        <w:bottom w:val="none" w:sz="0" w:space="0" w:color="auto"/>
        <w:right w:val="none" w:sz="0" w:space="0" w:color="auto"/>
      </w:divBdr>
    </w:div>
    <w:div w:id="1764836675">
      <w:bodyDiv w:val="1"/>
      <w:marLeft w:val="0"/>
      <w:marRight w:val="0"/>
      <w:marTop w:val="0"/>
      <w:marBottom w:val="0"/>
      <w:divBdr>
        <w:top w:val="none" w:sz="0" w:space="0" w:color="auto"/>
        <w:left w:val="none" w:sz="0" w:space="0" w:color="auto"/>
        <w:bottom w:val="none" w:sz="0" w:space="0" w:color="auto"/>
        <w:right w:val="none" w:sz="0" w:space="0" w:color="auto"/>
      </w:divBdr>
    </w:div>
    <w:div w:id="1765999161">
      <w:bodyDiv w:val="1"/>
      <w:marLeft w:val="0"/>
      <w:marRight w:val="0"/>
      <w:marTop w:val="0"/>
      <w:marBottom w:val="0"/>
      <w:divBdr>
        <w:top w:val="none" w:sz="0" w:space="0" w:color="auto"/>
        <w:left w:val="none" w:sz="0" w:space="0" w:color="auto"/>
        <w:bottom w:val="none" w:sz="0" w:space="0" w:color="auto"/>
        <w:right w:val="none" w:sz="0" w:space="0" w:color="auto"/>
      </w:divBdr>
    </w:div>
    <w:div w:id="1809396151">
      <w:bodyDiv w:val="1"/>
      <w:marLeft w:val="0"/>
      <w:marRight w:val="0"/>
      <w:marTop w:val="0"/>
      <w:marBottom w:val="0"/>
      <w:divBdr>
        <w:top w:val="none" w:sz="0" w:space="0" w:color="auto"/>
        <w:left w:val="none" w:sz="0" w:space="0" w:color="auto"/>
        <w:bottom w:val="none" w:sz="0" w:space="0" w:color="auto"/>
        <w:right w:val="none" w:sz="0" w:space="0" w:color="auto"/>
      </w:divBdr>
    </w:div>
    <w:div w:id="1840458847">
      <w:bodyDiv w:val="1"/>
      <w:marLeft w:val="0"/>
      <w:marRight w:val="0"/>
      <w:marTop w:val="0"/>
      <w:marBottom w:val="0"/>
      <w:divBdr>
        <w:top w:val="none" w:sz="0" w:space="0" w:color="auto"/>
        <w:left w:val="none" w:sz="0" w:space="0" w:color="auto"/>
        <w:bottom w:val="none" w:sz="0" w:space="0" w:color="auto"/>
        <w:right w:val="none" w:sz="0" w:space="0" w:color="auto"/>
      </w:divBdr>
    </w:div>
    <w:div w:id="1888253354">
      <w:bodyDiv w:val="1"/>
      <w:marLeft w:val="0"/>
      <w:marRight w:val="0"/>
      <w:marTop w:val="0"/>
      <w:marBottom w:val="0"/>
      <w:divBdr>
        <w:top w:val="none" w:sz="0" w:space="0" w:color="auto"/>
        <w:left w:val="none" w:sz="0" w:space="0" w:color="auto"/>
        <w:bottom w:val="none" w:sz="0" w:space="0" w:color="auto"/>
        <w:right w:val="none" w:sz="0" w:space="0" w:color="auto"/>
      </w:divBdr>
    </w:div>
    <w:div w:id="1914393648">
      <w:bodyDiv w:val="1"/>
      <w:marLeft w:val="0"/>
      <w:marRight w:val="0"/>
      <w:marTop w:val="0"/>
      <w:marBottom w:val="0"/>
      <w:divBdr>
        <w:top w:val="none" w:sz="0" w:space="0" w:color="auto"/>
        <w:left w:val="none" w:sz="0" w:space="0" w:color="auto"/>
        <w:bottom w:val="none" w:sz="0" w:space="0" w:color="auto"/>
        <w:right w:val="none" w:sz="0" w:space="0" w:color="auto"/>
      </w:divBdr>
    </w:div>
    <w:div w:id="1939754154">
      <w:bodyDiv w:val="1"/>
      <w:marLeft w:val="0"/>
      <w:marRight w:val="0"/>
      <w:marTop w:val="0"/>
      <w:marBottom w:val="0"/>
      <w:divBdr>
        <w:top w:val="none" w:sz="0" w:space="0" w:color="auto"/>
        <w:left w:val="none" w:sz="0" w:space="0" w:color="auto"/>
        <w:bottom w:val="none" w:sz="0" w:space="0" w:color="auto"/>
        <w:right w:val="none" w:sz="0" w:space="0" w:color="auto"/>
      </w:divBdr>
    </w:div>
    <w:div w:id="1954435568">
      <w:bodyDiv w:val="1"/>
      <w:marLeft w:val="0"/>
      <w:marRight w:val="0"/>
      <w:marTop w:val="0"/>
      <w:marBottom w:val="0"/>
      <w:divBdr>
        <w:top w:val="none" w:sz="0" w:space="0" w:color="auto"/>
        <w:left w:val="none" w:sz="0" w:space="0" w:color="auto"/>
        <w:bottom w:val="none" w:sz="0" w:space="0" w:color="auto"/>
        <w:right w:val="none" w:sz="0" w:space="0" w:color="auto"/>
      </w:divBdr>
    </w:div>
    <w:div w:id="1976063609">
      <w:bodyDiv w:val="1"/>
      <w:marLeft w:val="0"/>
      <w:marRight w:val="0"/>
      <w:marTop w:val="0"/>
      <w:marBottom w:val="0"/>
      <w:divBdr>
        <w:top w:val="none" w:sz="0" w:space="0" w:color="auto"/>
        <w:left w:val="none" w:sz="0" w:space="0" w:color="auto"/>
        <w:bottom w:val="none" w:sz="0" w:space="0" w:color="auto"/>
        <w:right w:val="none" w:sz="0" w:space="0" w:color="auto"/>
      </w:divBdr>
    </w:div>
    <w:div w:id="1994333484">
      <w:bodyDiv w:val="1"/>
      <w:marLeft w:val="0"/>
      <w:marRight w:val="0"/>
      <w:marTop w:val="0"/>
      <w:marBottom w:val="0"/>
      <w:divBdr>
        <w:top w:val="none" w:sz="0" w:space="0" w:color="auto"/>
        <w:left w:val="none" w:sz="0" w:space="0" w:color="auto"/>
        <w:bottom w:val="none" w:sz="0" w:space="0" w:color="auto"/>
        <w:right w:val="none" w:sz="0" w:space="0" w:color="auto"/>
      </w:divBdr>
    </w:div>
    <w:div w:id="2013798642">
      <w:bodyDiv w:val="1"/>
      <w:marLeft w:val="0"/>
      <w:marRight w:val="0"/>
      <w:marTop w:val="0"/>
      <w:marBottom w:val="0"/>
      <w:divBdr>
        <w:top w:val="none" w:sz="0" w:space="0" w:color="auto"/>
        <w:left w:val="none" w:sz="0" w:space="0" w:color="auto"/>
        <w:bottom w:val="none" w:sz="0" w:space="0" w:color="auto"/>
        <w:right w:val="none" w:sz="0" w:space="0" w:color="auto"/>
      </w:divBdr>
    </w:div>
    <w:div w:id="2044938537">
      <w:bodyDiv w:val="1"/>
      <w:marLeft w:val="0"/>
      <w:marRight w:val="0"/>
      <w:marTop w:val="0"/>
      <w:marBottom w:val="0"/>
      <w:divBdr>
        <w:top w:val="none" w:sz="0" w:space="0" w:color="auto"/>
        <w:left w:val="none" w:sz="0" w:space="0" w:color="auto"/>
        <w:bottom w:val="none" w:sz="0" w:space="0" w:color="auto"/>
        <w:right w:val="none" w:sz="0" w:space="0" w:color="auto"/>
      </w:divBdr>
    </w:div>
    <w:div w:id="2046178464">
      <w:bodyDiv w:val="1"/>
      <w:marLeft w:val="0"/>
      <w:marRight w:val="0"/>
      <w:marTop w:val="0"/>
      <w:marBottom w:val="0"/>
      <w:divBdr>
        <w:top w:val="none" w:sz="0" w:space="0" w:color="auto"/>
        <w:left w:val="none" w:sz="0" w:space="0" w:color="auto"/>
        <w:bottom w:val="none" w:sz="0" w:space="0" w:color="auto"/>
        <w:right w:val="none" w:sz="0" w:space="0" w:color="auto"/>
      </w:divBdr>
    </w:div>
    <w:div w:id="2052414809">
      <w:bodyDiv w:val="1"/>
      <w:marLeft w:val="0"/>
      <w:marRight w:val="0"/>
      <w:marTop w:val="0"/>
      <w:marBottom w:val="0"/>
      <w:divBdr>
        <w:top w:val="none" w:sz="0" w:space="0" w:color="auto"/>
        <w:left w:val="none" w:sz="0" w:space="0" w:color="auto"/>
        <w:bottom w:val="none" w:sz="0" w:space="0" w:color="auto"/>
        <w:right w:val="none" w:sz="0" w:space="0" w:color="auto"/>
      </w:divBdr>
    </w:div>
    <w:div w:id="2084136151">
      <w:bodyDiv w:val="1"/>
      <w:marLeft w:val="0"/>
      <w:marRight w:val="0"/>
      <w:marTop w:val="0"/>
      <w:marBottom w:val="0"/>
      <w:divBdr>
        <w:top w:val="none" w:sz="0" w:space="0" w:color="auto"/>
        <w:left w:val="none" w:sz="0" w:space="0" w:color="auto"/>
        <w:bottom w:val="none" w:sz="0" w:space="0" w:color="auto"/>
        <w:right w:val="none" w:sz="0" w:space="0" w:color="auto"/>
      </w:divBdr>
    </w:div>
    <w:div w:id="2099475559">
      <w:bodyDiv w:val="1"/>
      <w:marLeft w:val="0"/>
      <w:marRight w:val="0"/>
      <w:marTop w:val="0"/>
      <w:marBottom w:val="0"/>
      <w:divBdr>
        <w:top w:val="none" w:sz="0" w:space="0" w:color="auto"/>
        <w:left w:val="none" w:sz="0" w:space="0" w:color="auto"/>
        <w:bottom w:val="none" w:sz="0" w:space="0" w:color="auto"/>
        <w:right w:val="none" w:sz="0" w:space="0" w:color="auto"/>
      </w:divBdr>
    </w:div>
    <w:div w:id="2100439871">
      <w:bodyDiv w:val="1"/>
      <w:marLeft w:val="0"/>
      <w:marRight w:val="0"/>
      <w:marTop w:val="0"/>
      <w:marBottom w:val="0"/>
      <w:divBdr>
        <w:top w:val="none" w:sz="0" w:space="0" w:color="auto"/>
        <w:left w:val="none" w:sz="0" w:space="0" w:color="auto"/>
        <w:bottom w:val="none" w:sz="0" w:space="0" w:color="auto"/>
        <w:right w:val="none" w:sz="0" w:space="0" w:color="auto"/>
      </w:divBdr>
    </w:div>
    <w:div w:id="2122458586">
      <w:bodyDiv w:val="1"/>
      <w:marLeft w:val="0"/>
      <w:marRight w:val="0"/>
      <w:marTop w:val="0"/>
      <w:marBottom w:val="0"/>
      <w:divBdr>
        <w:top w:val="none" w:sz="0" w:space="0" w:color="auto"/>
        <w:left w:val="none" w:sz="0" w:space="0" w:color="auto"/>
        <w:bottom w:val="none" w:sz="0" w:space="0" w:color="auto"/>
        <w:right w:val="none" w:sz="0" w:space="0" w:color="auto"/>
      </w:divBdr>
    </w:div>
    <w:div w:id="2130706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1" ma:contentTypeDescription="Create a new document." ma:contentTypeScope="" ma:versionID="c50e3c8c3b312a731b909e86c94349f8">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91c32fd7bcf83f00102cd3379b0eddb8"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9FC0AE-072B-468E-BEFE-AB76B859D5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62C3636-8BAB-45F7-B62D-C30F6C0D194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B2B178B-420E-4480-8F00-94C4D765A99B}">
  <ds:schemaRefs>
    <ds:schemaRef ds:uri="http://schemas.microsoft.com/sharepoint/v3/contenttype/forms"/>
  </ds:schemaRefs>
</ds:datastoreItem>
</file>

<file path=customXml/itemProps4.xml><?xml version="1.0" encoding="utf-8"?>
<ds:datastoreItem xmlns:ds="http://schemas.openxmlformats.org/officeDocument/2006/customXml" ds:itemID="{66B597FB-A121-4AD0-B1A0-08BB0B5B0A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541</TotalTime>
  <Pages>3</Pages>
  <Words>1207</Words>
  <Characters>6882</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8073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CTPClassification=CTP_NT</cp:keywords>
  <dc:description/>
  <cp:lastModifiedBy>Chatterjee, Debdeep</cp:lastModifiedBy>
  <cp:revision>357</cp:revision>
  <dcterms:created xsi:type="dcterms:W3CDTF">2021-01-19T00:45:00Z</dcterms:created>
  <dcterms:modified xsi:type="dcterms:W3CDTF">2021-10-02T05:56:00Z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79e013cf-d1bb-418e-ad4c-108ebea0d6da</vt:lpwstr>
  </property>
  <property fmtid="{D5CDD505-2E9C-101B-9397-08002B2CF9AE}" pid="3" name="CTP_TimeStamp">
    <vt:lpwstr>2020-08-08 07:18:01Z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0x010100E0B0DDEA5689E843A77FF07E023D2573</vt:lpwstr>
  </property>
  <property fmtid="{D5CDD505-2E9C-101B-9397-08002B2CF9AE}" pid="8" name="CTPClassification">
    <vt:lpwstr>CTP_NT</vt:lpwstr>
  </property>
</Properties>
</file>